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FE8" w:rsidRDefault="00356FA8">
      <w:pPr>
        <w:tabs>
          <w:tab w:val="center" w:pos="304"/>
          <w:tab w:val="center" w:pos="1012"/>
          <w:tab w:val="center" w:pos="1720"/>
          <w:tab w:val="center" w:pos="2428"/>
          <w:tab w:val="center" w:pos="3136"/>
          <w:tab w:val="center" w:pos="3844"/>
          <w:tab w:val="right" w:pos="9405"/>
        </w:tabs>
        <w:spacing w:after="197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245FE8" w:rsidRDefault="00356FA8">
      <w:pPr>
        <w:spacing w:after="0"/>
        <w:ind w:left="10" w:hanging="1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245FE8" w:rsidRDefault="00356FA8">
      <w:pPr>
        <w:spacing w:after="0"/>
        <w:ind w:left="10" w:hanging="10"/>
        <w:jc w:val="center"/>
      </w:pPr>
      <w:r>
        <w:rPr>
          <w:rFonts w:ascii="Corbel" w:eastAsia="Corbel" w:hAnsi="Corbel" w:cs="Corbel"/>
          <w:b/>
          <w:sz w:val="24"/>
        </w:rPr>
        <w:t>dotyczy cyklu kształcenia</w:t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>2020/2023</w:t>
      </w:r>
      <w:r>
        <w:rPr>
          <w:rFonts w:ascii="Corbel" w:eastAsia="Corbel" w:hAnsi="Corbel" w:cs="Corbel"/>
          <w:sz w:val="20"/>
        </w:rPr>
        <w:t xml:space="preserve"> </w:t>
      </w:r>
    </w:p>
    <w:p w:rsidR="00245FE8" w:rsidRDefault="00356FA8">
      <w:pPr>
        <w:tabs>
          <w:tab w:val="center" w:pos="708"/>
          <w:tab w:val="center" w:pos="1416"/>
          <w:tab w:val="center" w:pos="2124"/>
          <w:tab w:val="center" w:pos="4062"/>
        </w:tabs>
        <w:spacing w:after="0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</w:t>
      </w:r>
      <w:r w:rsidR="007141A8">
        <w:rPr>
          <w:rFonts w:ascii="Corbel" w:eastAsia="Corbel" w:hAnsi="Corbel" w:cs="Corbel"/>
          <w:sz w:val="24"/>
        </w:rPr>
        <w:t>2021/2022</w:t>
      </w:r>
      <w:bookmarkStart w:id="0" w:name="_GoBack"/>
      <w:bookmarkEnd w:id="0"/>
      <w:r>
        <w:rPr>
          <w:rFonts w:ascii="Corbel" w:eastAsia="Corbel" w:hAnsi="Corbel" w:cs="Corbel"/>
          <w:sz w:val="20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  <w:ind w:left="-5"/>
      </w:pPr>
      <w:r>
        <w:t>1. Podstawowe informacje o przedmiocie</w:t>
      </w:r>
      <w:r>
        <w:rPr>
          <w:color w:val="008080"/>
        </w:rPr>
        <w:t xml:space="preserve"> </w:t>
      </w:r>
    </w:p>
    <w:tbl>
      <w:tblPr>
        <w:tblStyle w:val="TableGrid"/>
        <w:tblW w:w="9781" w:type="dxa"/>
        <w:tblInd w:w="-34" w:type="dxa"/>
        <w:tblCellMar>
          <w:top w:w="52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7"/>
      </w:tblGrid>
      <w:tr w:rsidR="00245FE8">
        <w:trPr>
          <w:trHeight w:val="50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Nazwa przedmiotu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Historia filozofii nowożytnej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Kod przedmiotu*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593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Nazwa jednostki prowadzącej kierunek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Kolegium Nauk Humanistycznych</w:t>
            </w:r>
            <w:r>
              <w:t xml:space="preserve"> </w:t>
            </w:r>
          </w:p>
        </w:tc>
      </w:tr>
      <w:tr w:rsidR="00245FE8">
        <w:trPr>
          <w:trHeight w:val="793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Nazwa jednostki realizującej przedmiot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Instytut Filozofii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Kierunek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Filozofia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Poziom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Pierwszy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Profil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Ogólnoakademicki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Forma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Studia stacjonarne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Rok i semestr/y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II rok,  3 i 4  semestr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Rodzaj przedmiotu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Obowiązkowy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Język wykładowy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Polski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Koordynator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Dr hab. Artur Mordka, prof. UR</w:t>
            </w:r>
            <w:r>
              <w:t xml:space="preserve"> </w:t>
            </w:r>
          </w:p>
        </w:tc>
      </w:tr>
      <w:tr w:rsidR="00245FE8">
        <w:trPr>
          <w:trHeight w:val="1086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Imię i nazwisko osoby prowadzącej / osób prowadzących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Dr hab. Artur Mordka, prof. UR</w:t>
            </w:r>
            <w:r>
              <w:t xml:space="preserve"> </w:t>
            </w:r>
          </w:p>
        </w:tc>
      </w:tr>
    </w:tbl>
    <w:p w:rsidR="00245FE8" w:rsidRDefault="00356FA8">
      <w:pPr>
        <w:spacing w:after="76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  <w:ind w:left="294"/>
      </w:pPr>
      <w:r>
        <w:t xml:space="preserve">1.1.Formy zajęć dydaktycznych, wymiar godzin i punktów ECTS 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28" w:type="dxa"/>
        <w:tblInd w:w="-1" w:type="dxa"/>
        <w:tblCellMar>
          <w:top w:w="47" w:type="dxa"/>
          <w:left w:w="109" w:type="dxa"/>
          <w:right w:w="52" w:type="dxa"/>
        </w:tblCellMar>
        <w:tblLook w:val="04A0" w:firstRow="1" w:lastRow="0" w:firstColumn="1" w:lastColumn="0" w:noHBand="0" w:noVBand="1"/>
      </w:tblPr>
      <w:tblGrid>
        <w:gridCol w:w="1050"/>
        <w:gridCol w:w="913"/>
        <w:gridCol w:w="788"/>
        <w:gridCol w:w="851"/>
        <w:gridCol w:w="800"/>
        <w:gridCol w:w="822"/>
        <w:gridCol w:w="762"/>
        <w:gridCol w:w="948"/>
        <w:gridCol w:w="1189"/>
        <w:gridCol w:w="1505"/>
      </w:tblGrid>
      <w:tr w:rsidR="00245FE8">
        <w:trPr>
          <w:trHeight w:val="593"/>
        </w:trPr>
        <w:tc>
          <w:tcPr>
            <w:tcW w:w="104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245FE8" w:rsidRDefault="00356FA8">
            <w:pPr>
              <w:ind w:right="55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  <w:r>
              <w:t xml:space="preserve">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67"/>
            </w:pPr>
            <w:r>
              <w:rPr>
                <w:rFonts w:ascii="Corbel" w:eastAsia="Corbel" w:hAnsi="Corbel" w:cs="Corbel"/>
                <w:sz w:val="24"/>
              </w:rPr>
              <w:t>Wykł.</w:t>
            </w:r>
            <w:r>
              <w:t xml:space="preserve"> 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98"/>
            </w:pPr>
            <w:r>
              <w:rPr>
                <w:rFonts w:ascii="Corbel" w:eastAsia="Corbel" w:hAnsi="Corbel" w:cs="Corbel"/>
                <w:sz w:val="24"/>
              </w:rPr>
              <w:t>Ćw.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>Konw.</w:t>
            </w:r>
            <w:r>
              <w:t xml:space="preserve"> 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76"/>
            </w:pPr>
            <w:r>
              <w:rPr>
                <w:rFonts w:ascii="Corbel" w:eastAsia="Corbel" w:hAnsi="Corbel" w:cs="Corbel"/>
                <w:sz w:val="24"/>
              </w:rPr>
              <w:t>Lab.</w:t>
            </w:r>
            <w:r>
              <w:t xml:space="preserve"> </w:t>
            </w:r>
          </w:p>
        </w:tc>
        <w:tc>
          <w:tcPr>
            <w:tcW w:w="82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46"/>
            </w:pPr>
            <w:r>
              <w:rPr>
                <w:rFonts w:ascii="Corbel" w:eastAsia="Corbel" w:hAnsi="Corbel" w:cs="Corbel"/>
                <w:sz w:val="24"/>
              </w:rPr>
              <w:t>Sem.</w:t>
            </w:r>
            <w:r>
              <w:t xml:space="preserve"> 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57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  <w:r>
              <w:t xml:space="preserve"> 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66"/>
            </w:pPr>
            <w:r>
              <w:rPr>
                <w:rFonts w:ascii="Corbel" w:eastAsia="Corbel" w:hAnsi="Corbel" w:cs="Corbel"/>
                <w:sz w:val="24"/>
              </w:rPr>
              <w:t>Prakt.</w:t>
            </w:r>
            <w:r>
              <w:t xml:space="preserve">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  <w:r>
              <w:t xml:space="preserve"> 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  <w:r>
              <w:t xml:space="preserve"> </w:t>
            </w:r>
          </w:p>
        </w:tc>
      </w:tr>
      <w:tr w:rsidR="00245FE8">
        <w:trPr>
          <w:trHeight w:val="767"/>
        </w:trPr>
        <w:tc>
          <w:tcPr>
            <w:tcW w:w="104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right="57"/>
              <w:jc w:val="center"/>
            </w:pPr>
            <w:r>
              <w:lastRenderedPageBreak/>
              <w:t xml:space="preserve">3, 4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Wykład 60 h</w:t>
            </w:r>
            <w:r>
              <w:t xml:space="preserve"> 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</w:rPr>
              <w:t>Ćwicz</w:t>
            </w:r>
          </w:p>
          <w:p w:rsidR="00245FE8" w:rsidRDefault="00356FA8">
            <w:r>
              <w:rPr>
                <w:rFonts w:ascii="Times New Roman" w:eastAsia="Times New Roman" w:hAnsi="Times New Roman" w:cs="Times New Roman"/>
              </w:rPr>
              <w:t xml:space="preserve">enia  </w:t>
            </w:r>
          </w:p>
          <w:p w:rsidR="00245FE8" w:rsidRDefault="00356FA8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60 h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4"/>
              <w:jc w:val="center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57"/>
              <w:jc w:val="center"/>
            </w:pPr>
            <w:r>
              <w:t xml:space="preserve">5 </w:t>
            </w:r>
          </w:p>
        </w:tc>
      </w:tr>
      <w:tr w:rsidR="00245FE8">
        <w:trPr>
          <w:trHeight w:val="459"/>
        </w:trPr>
        <w:tc>
          <w:tcPr>
            <w:tcW w:w="1049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4"/>
              <w:jc w:val="center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294"/>
      </w:pPr>
      <w:r>
        <w:t xml:space="preserve">1.2. Sposób realizacji zajęć  </w:t>
      </w:r>
      <w:r>
        <w:rPr>
          <w:b w:val="0"/>
        </w:rPr>
        <w:t xml:space="preserve"> </w:t>
      </w:r>
    </w:p>
    <w:p w:rsidR="00245FE8" w:rsidRDefault="00356FA8">
      <w:pPr>
        <w:spacing w:after="0" w:line="250" w:lineRule="auto"/>
        <w:ind w:left="709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245FE8" w:rsidRDefault="00356FA8">
      <w:pPr>
        <w:spacing w:after="0"/>
        <w:ind w:left="10" w:right="485" w:hanging="10"/>
        <w:jc w:val="right"/>
      </w:pPr>
      <w:r>
        <w:rPr>
          <w:rFonts w:ascii="MS Gothic" w:eastAsia="MS Gothic" w:hAnsi="MS Gothic" w:cs="MS Gothic"/>
          <w:sz w:val="24"/>
        </w:rPr>
        <w:t>X☐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 w:line="250" w:lineRule="auto"/>
        <w:ind w:left="704" w:hanging="435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1"/>
        <w:ind w:left="-5" w:hanging="10"/>
      </w:pPr>
      <w:r>
        <w:rPr>
          <w:rFonts w:ascii="Times New Roman" w:eastAsia="Times New Roman" w:hAnsi="Times New Roman" w:cs="Times New Roman"/>
        </w:rPr>
        <w:t xml:space="preserve">Ćwiczenia: zaliczenie z oceną  </w:t>
      </w:r>
    </w:p>
    <w:p w:rsidR="00245FE8" w:rsidRDefault="00356FA8">
      <w:pPr>
        <w:spacing w:after="1"/>
        <w:ind w:left="-5" w:hanging="10"/>
      </w:pPr>
      <w:r>
        <w:rPr>
          <w:rFonts w:ascii="Times New Roman" w:eastAsia="Times New Roman" w:hAnsi="Times New Roman" w:cs="Times New Roman"/>
        </w:rPr>
        <w:t xml:space="preserve">Wykład: egzamin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 xml:space="preserve">2.Wymagania wstępne 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40"/>
        <w:ind w:left="216"/>
      </w:pPr>
      <w:r>
        <w:rPr>
          <w:rFonts w:ascii="Arial" w:eastAsia="Arial" w:hAnsi="Arial" w:cs="Arial"/>
          <w:b/>
        </w:rPr>
        <w:t>Zaliczenie przedmiotu z filozofii starożytnej i średniowiecznej</w:t>
      </w: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43"/>
        <w:ind w:left="216"/>
      </w:pPr>
      <w: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  <w:ind w:left="-5"/>
      </w:pPr>
      <w:r>
        <w:t xml:space="preserve">3. Cele, efekty uczenia się , treści Programowe i stosowane metody Dydaktyczne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2"/>
        <w:ind w:left="370"/>
      </w:pPr>
      <w:r>
        <w:t xml:space="preserve">3.1 Cele przedmiotu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0" w:type="dxa"/>
        <w:tblInd w:w="107" w:type="dxa"/>
        <w:tblCellMar>
          <w:top w:w="46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851"/>
        <w:gridCol w:w="8819"/>
      </w:tblGrid>
      <w:tr w:rsidR="00245FE8">
        <w:trPr>
          <w:trHeight w:val="81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C1 </w:t>
            </w:r>
            <w:r>
              <w:t xml:space="preserve"> </w:t>
            </w:r>
          </w:p>
        </w:tc>
        <w:tc>
          <w:tcPr>
            <w:tcW w:w="8819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sz w:val="20"/>
              </w:rPr>
              <w:t xml:space="preserve">Student poznaje główne kierunki i spory filozoficzne nowożytności w takich obszarach jak: </w:t>
            </w:r>
          </w:p>
          <w:p w:rsidR="00245FE8" w:rsidRDefault="00356FA8">
            <w:pPr>
              <w:spacing w:after="43"/>
            </w:pPr>
            <w:r>
              <w:rPr>
                <w:rFonts w:ascii="Arial" w:eastAsia="Arial" w:hAnsi="Arial" w:cs="Arial"/>
                <w:sz w:val="20"/>
              </w:rPr>
              <w:t xml:space="preserve">ontologia (metafizyka), epistemologia, antropologia, aksjologia, filozofia polityki.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t xml:space="preserve"> </w:t>
            </w:r>
          </w:p>
        </w:tc>
      </w:tr>
      <w:tr w:rsidR="00245FE8">
        <w:trPr>
          <w:trHeight w:val="593"/>
        </w:trPr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C2</w:t>
            </w:r>
            <w:r>
              <w:t xml:space="preserve"> </w:t>
            </w:r>
          </w:p>
        </w:tc>
        <w:tc>
          <w:tcPr>
            <w:tcW w:w="881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</w:rPr>
              <w:t>Student wzbogaca swoją wiedzę filozoficzną o spory i problemy, jakie niesie ze sobą nowożytność.</w:t>
            </w:r>
            <w:r>
              <w:t xml:space="preserve"> </w:t>
            </w:r>
          </w:p>
        </w:tc>
      </w:tr>
      <w:tr w:rsidR="00245FE8">
        <w:trPr>
          <w:trHeight w:val="355"/>
        </w:trPr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  <w:tc>
          <w:tcPr>
            <w:tcW w:w="8819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436"/>
      </w:pPr>
      <w:r>
        <w:t>3.2 Efekty uczenia się dla przedmiotu</w:t>
      </w:r>
      <w:r>
        <w:rPr>
          <w:b w:val="0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0" w:type="dxa"/>
        <w:tblInd w:w="107" w:type="dxa"/>
        <w:tblCellMar>
          <w:top w:w="44" w:type="dxa"/>
          <w:left w:w="107" w:type="dxa"/>
          <w:right w:w="114" w:type="dxa"/>
        </w:tblCellMar>
        <w:tblLook w:val="04A0" w:firstRow="1" w:lastRow="0" w:firstColumn="1" w:lastColumn="0" w:noHBand="0" w:noVBand="1"/>
      </w:tblPr>
      <w:tblGrid>
        <w:gridCol w:w="1702"/>
        <w:gridCol w:w="6096"/>
        <w:gridCol w:w="1872"/>
      </w:tblGrid>
      <w:tr w:rsidR="00245FE8">
        <w:trPr>
          <w:trHeight w:val="886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Wiedza. Absolwent zna i rozumie: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>EK_01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sz w:val="20"/>
              </w:rPr>
              <w:t>Poglądy i pisma klasycznych, nowożytnych autorów filozoficznych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K_Wo2</w:t>
            </w:r>
            <w:r>
              <w:t xml:space="preserve"> </w:t>
            </w:r>
          </w:p>
        </w:tc>
      </w:tr>
      <w:tr w:rsidR="00245FE8">
        <w:trPr>
          <w:trHeight w:val="545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>EK_02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Zależności między subdyscyplinami filozoficznymi: metafizyką, epistemologią i antropologią w filozofii nowożytnej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K_Wo1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Umiejęności. Absolwent potrafi: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467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EK_03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sz w:val="20"/>
              </w:rPr>
              <w:t>Stosować poznaną terminologię filozoficzną dotycząca filozofii nowożytnej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b/>
              </w:rPr>
              <w:t>K</w:t>
            </w:r>
            <w:r>
              <w:rPr>
                <w:rFonts w:ascii="Corbel" w:eastAsia="Corbel" w:hAnsi="Corbel" w:cs="Corbel"/>
                <w:b/>
                <w:sz w:val="24"/>
              </w:rPr>
              <w:t>_Uo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b/>
              </w:rPr>
              <w:t xml:space="preserve"> </w:t>
            </w:r>
          </w:p>
        </w:tc>
      </w:tr>
      <w:tr w:rsidR="00245FE8">
        <w:trPr>
          <w:trHeight w:val="545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Wykrywać zależności między tezami oraz zależności między ideami filozoficznymi myśli nowożytnej 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b/>
              </w:rPr>
              <w:t>K</w:t>
            </w:r>
            <w:r>
              <w:rPr>
                <w:rFonts w:ascii="Corbel" w:eastAsia="Corbel" w:hAnsi="Corbel" w:cs="Corbel"/>
                <w:b/>
                <w:sz w:val="24"/>
              </w:rPr>
              <w:t>_Uo</w:t>
            </w:r>
            <w:r>
              <w:rPr>
                <w:rFonts w:ascii="Arial" w:eastAsia="Arial" w:hAnsi="Arial" w:cs="Arial"/>
                <w:b/>
              </w:rPr>
              <w:t>2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Kompetencje społeczne: absolwent jest gotów do: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544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Krytycznej oceny posiadanej przez siebie wiedzy w zakresie idei filozofizcznych czasów nowożytnych 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K_Ko1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>EK_06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Zaangażowanego uczestnictwa w życiu społecznym ze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K_Ko2</w:t>
            </w:r>
            <w:r>
              <w:t xml:space="preserve"> </w:t>
            </w:r>
          </w:p>
        </w:tc>
      </w:tr>
      <w:tr w:rsidR="00245FE8">
        <w:trPr>
          <w:trHeight w:val="54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245FE8"/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świadomością znaczenie refleksjii filozoficznej dla kształtowania więzi społczenych  </w:t>
            </w:r>
          </w:p>
        </w:tc>
        <w:tc>
          <w:tcPr>
            <w:tcW w:w="1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245FE8"/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spacing w:after="191" w:line="259" w:lineRule="auto"/>
        <w:ind w:left="436"/>
      </w:pPr>
      <w:r>
        <w:t xml:space="preserve">3.3Treści programowe  </w:t>
      </w:r>
    </w:p>
    <w:p w:rsidR="00245FE8" w:rsidRDefault="00356FA8">
      <w:pPr>
        <w:spacing w:after="0"/>
        <w:ind w:left="10" w:right="6050" w:hanging="10"/>
        <w:jc w:val="right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Problematyka wykładu  </w:t>
      </w:r>
    </w:p>
    <w:tbl>
      <w:tblPr>
        <w:tblStyle w:val="TableGrid"/>
        <w:tblW w:w="7230" w:type="dxa"/>
        <w:tblInd w:w="1276" w:type="dxa"/>
        <w:tblCellMar>
          <w:top w:w="50" w:type="dxa"/>
          <w:left w:w="10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278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r>
              <w:t xml:space="preserve">Treści merytoryczne </w:t>
            </w:r>
          </w:p>
        </w:tc>
      </w:tr>
      <w:tr w:rsidR="00245FE8">
        <w:trPr>
          <w:trHeight w:val="1080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numPr>
                <w:ilvl w:val="0"/>
                <w:numId w:val="1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Ramy czasowe i obszary przemian w dobie Odrodzenia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3" w:line="239" w:lineRule="auto"/>
              <w:ind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>Społeczno-ekonomiczne i kulturowe źródła narodzin renesansowego umysłu otwartego. Rewolucja naukowa (</w:t>
            </w:r>
            <w:r>
              <w:rPr>
                <w:rFonts w:ascii="Arial" w:eastAsia="Arial" w:hAnsi="Arial" w:cs="Arial"/>
                <w:b/>
                <w:sz w:val="20"/>
              </w:rPr>
              <w:t>Kopernik, Galileusz</w:t>
            </w:r>
            <w:r>
              <w:rPr>
                <w:rFonts w:ascii="Arial" w:eastAsia="Arial" w:hAnsi="Arial" w:cs="Arial"/>
                <w:sz w:val="20"/>
              </w:rPr>
              <w:t>), rewolucja w sferze ludzkiej świadomości, rewolucja w łonie Kościoła –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reformacja</w:t>
            </w:r>
            <w:r>
              <w:rPr>
                <w:rFonts w:ascii="Arial" w:eastAsia="Arial" w:hAnsi="Arial" w:cs="Arial"/>
                <w:sz w:val="20"/>
              </w:rPr>
              <w:t xml:space="preserve"> (</w:t>
            </w:r>
            <w:r>
              <w:rPr>
                <w:rFonts w:ascii="Arial" w:eastAsia="Arial" w:hAnsi="Arial" w:cs="Arial"/>
                <w:b/>
                <w:sz w:val="20"/>
              </w:rPr>
              <w:t>Luter</w:t>
            </w:r>
            <w:r>
              <w:rPr>
                <w:rFonts w:ascii="Arial" w:eastAsia="Arial" w:hAnsi="Arial" w:cs="Arial"/>
                <w:sz w:val="20"/>
              </w:rPr>
              <w:t xml:space="preserve"> i jego znaczenie). Przemiany w świadomości przestrzennej – rewolucja geograficzna. Odkrycie antyku i jego wpływ na kształtowanie się nowego sposobu myślenia; wątki platońskie, arystotelesowskie i epikurejskie w filozofii Odrodzenia. Platonizm renesansowy. Rola Akademii Florenckiej: M. Ficino, P. della Mirandola. Człowiek jako mikrokosmos boskiego makrokosmosu (</w:t>
            </w:r>
            <w:r>
              <w:rPr>
                <w:rFonts w:ascii="Arial" w:eastAsia="Arial" w:hAnsi="Arial" w:cs="Arial"/>
                <w:b/>
                <w:sz w:val="20"/>
              </w:rPr>
              <w:t>M. Ficino</w:t>
            </w:r>
            <w:r>
              <w:rPr>
                <w:rFonts w:ascii="Arial" w:eastAsia="Arial" w:hAnsi="Arial" w:cs="Arial"/>
                <w:sz w:val="20"/>
              </w:rPr>
              <w:t xml:space="preserve">,  </w:t>
            </w:r>
            <w:r>
              <w:rPr>
                <w:rFonts w:ascii="Arial" w:eastAsia="Arial" w:hAnsi="Arial" w:cs="Arial"/>
                <w:b/>
                <w:sz w:val="20"/>
              </w:rPr>
              <w:t>P. Mirandola</w:t>
            </w:r>
            <w:r>
              <w:rPr>
                <w:rFonts w:ascii="Arial" w:eastAsia="Arial" w:hAnsi="Arial" w:cs="Arial"/>
                <w:sz w:val="20"/>
              </w:rPr>
              <w:t xml:space="preserve">). 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19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Dewaluacja wertykalnych modeli stanowienia tożsamości</w:t>
            </w:r>
            <w:r>
              <w:rPr>
                <w:rFonts w:ascii="Arial" w:eastAsia="Arial" w:hAnsi="Arial" w:cs="Arial"/>
                <w:sz w:val="20"/>
              </w:rPr>
              <w:t>: sprawa dyferencjacji systemów  społecznych i światopoglądowych. Wyzwalanie się człowieka spod z kurateli autorytetów. Sprawa godności człowieka (</w:t>
            </w:r>
            <w:r>
              <w:rPr>
                <w:rFonts w:ascii="Arial" w:eastAsia="Arial" w:hAnsi="Arial" w:cs="Arial"/>
                <w:i/>
                <w:sz w:val="20"/>
              </w:rPr>
              <w:t>dignitas</w:t>
            </w:r>
            <w:r>
              <w:rPr>
                <w:rFonts w:ascii="Arial" w:eastAsia="Arial" w:hAnsi="Arial" w:cs="Arial"/>
                <w:sz w:val="20"/>
              </w:rPr>
              <w:t xml:space="preserve">).Przeciwko średniowiecznej idei człowieka upadłego. Próba zasypania średniowiecznego dualizmu dwóch światów: Boga i człowieka: </w:t>
            </w:r>
            <w:r>
              <w:rPr>
                <w:rFonts w:ascii="Arial" w:eastAsia="Arial" w:hAnsi="Arial" w:cs="Arial"/>
                <w:i/>
                <w:sz w:val="20"/>
              </w:rPr>
              <w:t>sacrum</w:t>
            </w:r>
            <w:r>
              <w:rPr>
                <w:rFonts w:ascii="Arial" w:eastAsia="Arial" w:hAnsi="Arial" w:cs="Arial"/>
                <w:sz w:val="20"/>
              </w:rPr>
              <w:t xml:space="preserve"> i </w:t>
            </w:r>
            <w:r>
              <w:rPr>
                <w:rFonts w:ascii="Arial" w:eastAsia="Arial" w:hAnsi="Arial" w:cs="Arial"/>
                <w:i/>
                <w:sz w:val="20"/>
              </w:rPr>
              <w:t>profanum</w:t>
            </w:r>
            <w:r>
              <w:rPr>
                <w:rFonts w:ascii="Arial" w:eastAsia="Arial" w:hAnsi="Arial" w:cs="Arial"/>
                <w:sz w:val="20"/>
              </w:rPr>
              <w:t xml:space="preserve">. Nowe miejsce człowieka w świecie. Sprawa dyferencjacji systemów  społeczno-światopoglądowych. Dewaluacja metody scholastycznej. W poszukiwaniu nowej metody.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21" w:line="239" w:lineRule="auto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Renesansowa filozofia przyrody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Telesio, Vanini, naturalistyczny panteizm Giordana Bruna. Paracelsusa filozofia przyrody.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Antropocentryzm </w:t>
            </w:r>
            <w:r>
              <w:rPr>
                <w:rFonts w:ascii="Times New Roman" w:eastAsia="Times New Roman" w:hAnsi="Times New Roman" w:cs="Times New Roman"/>
                <w:sz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humanizm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renesansowy.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Erazm z Rotterdamu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 jego filozofia.  Stosunek Odrodzenia do ciała ludzkiego w medycynie. Człowiek w perspektywie sztuki: zmiana ikonografii renesansowej.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Odkrycie nieskończoności i jej wpływ na renesansową wizję kosmosu i człowieka.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Panteizm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i antydogmatyzm filozofii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G. Bruna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(„boskość człowieka” i „nieskończoność świata”). Filozofia przyrody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G. Galileusza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i jej wpływ na świadomość nowożytną Europy. Nowy sposób odczytywania Księgi Natury.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Odkrycie nieskończoności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 nauce, sztuce i filozofii.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godz.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17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Odkrycie czasu historycznego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Krytyka prowidencjalistycznej wizji dziejów. Różnice między antyczną (dynamiczną i otwartą) a średniowieczną (statyczną i zamkniętą) koncepcją umysłu i świata: analiza porównawcza.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Narodziny czasu historycznego</w:t>
            </w:r>
            <w:r>
              <w:rPr>
                <w:rFonts w:ascii="Times New Roman" w:eastAsia="Times New Roman" w:hAnsi="Times New Roman" w:cs="Times New Roman"/>
                <w:sz w:val="20"/>
              </w:rPr>
              <w:t>. Nowa koncepcja dziejów (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N. Machiavelli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): człowiek jako podmiot polityczny. Polityka a wartości. Sprawa „racji stanu”. </w:t>
            </w:r>
            <w:r>
              <w:rPr>
                <w:rFonts w:ascii="Arial" w:eastAsia="Arial" w:hAnsi="Arial" w:cs="Arial"/>
                <w:b/>
                <w:sz w:val="20"/>
              </w:rPr>
              <w:t>Utopie renesansowe i ich znaczenie</w:t>
            </w:r>
            <w:r>
              <w:rPr>
                <w:rFonts w:ascii="Arial" w:eastAsia="Arial" w:hAnsi="Arial" w:cs="Arial"/>
                <w:sz w:val="20"/>
              </w:rPr>
              <w:t xml:space="preserve">; T. Morus, T. Campanella. </w:t>
            </w:r>
            <w:r>
              <w:rPr>
                <w:rFonts w:ascii="Arial" w:eastAsia="Arial" w:hAnsi="Arial" w:cs="Arial"/>
                <w:b/>
                <w:sz w:val="20"/>
              </w:rPr>
              <w:t>Sceptycyzm Montaigne'a; rewizja humanizmu renesansowego: załamanie się optymistycznej wizji świata i człowieka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35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spacing w:line="241" w:lineRule="auto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Ogólna charakterystyka wieku XVII.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Dwaj wielcy reformatorzy nauki: F. Bacon, R. Kartezjusz. 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12"/>
              <w:ind w:right="107" w:hanging="360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F. Bacon – nowa koncepcja wiedzy i poznania: nauka jako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technologia</w:t>
            </w:r>
            <w:r>
              <w:rPr>
                <w:rFonts w:ascii="Arial" w:eastAsia="Arial" w:hAnsi="Arial" w:cs="Arial"/>
                <w:sz w:val="20"/>
              </w:rPr>
              <w:t xml:space="preserve">(waga eksperymentu w odkrywaniu sekretów przyrody). Krytyka wiedzy spekulatywnej. Krytyka sylogizmu. </w:t>
            </w:r>
            <w:r>
              <w:rPr>
                <w:rFonts w:ascii="Arial" w:eastAsia="Arial" w:hAnsi="Arial" w:cs="Arial"/>
                <w:b/>
                <w:sz w:val="20"/>
              </w:rPr>
              <w:t>Teoria idoli</w:t>
            </w:r>
            <w:r>
              <w:rPr>
                <w:rFonts w:ascii="Arial" w:eastAsia="Arial" w:hAnsi="Arial" w:cs="Arial"/>
                <w:sz w:val="20"/>
              </w:rPr>
              <w:t xml:space="preserve">; praktyczny wymiar wiedzy. Indukcja eliminacyjna. Utopia społeczna F. Bacona. </w:t>
            </w:r>
            <w:r>
              <w:rPr>
                <w:rFonts w:ascii="Arial" w:eastAsia="Arial" w:hAnsi="Arial" w:cs="Arial"/>
                <w:b/>
                <w:sz w:val="20"/>
              </w:rPr>
              <w:t>1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Przewrót Kartezjusza </w:t>
            </w:r>
            <w:r>
              <w:rPr>
                <w:rFonts w:ascii="Arial" w:eastAsia="Arial" w:hAnsi="Arial" w:cs="Arial"/>
                <w:sz w:val="20"/>
              </w:rPr>
              <w:t xml:space="preserve">– nowy paradygmat filozoficzny. Zwrot ku podmiotowi: waga pierwszoosobowego punktu widzenia.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Kartezjańska </w:t>
            </w:r>
          </w:p>
        </w:tc>
      </w:tr>
    </w:tbl>
    <w:p w:rsidR="00245FE8" w:rsidRDefault="00245FE8">
      <w:pPr>
        <w:spacing w:after="0"/>
        <w:ind w:left="-1417" w:right="899"/>
      </w:pPr>
    </w:p>
    <w:tbl>
      <w:tblPr>
        <w:tblStyle w:val="TableGrid"/>
        <w:tblW w:w="7230" w:type="dxa"/>
        <w:tblInd w:w="1276" w:type="dxa"/>
        <w:tblCellMar>
          <w:top w:w="27" w:type="dxa"/>
        </w:tblCellMar>
        <w:tblLook w:val="04A0" w:firstRow="1" w:lastRow="0" w:firstColumn="1" w:lastColumn="0" w:noHBand="0" w:noVBand="1"/>
      </w:tblPr>
      <w:tblGrid>
        <w:gridCol w:w="466"/>
        <w:gridCol w:w="6764"/>
      </w:tblGrid>
      <w:tr w:rsidR="00245FE8">
        <w:trPr>
          <w:trHeight w:val="279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45FE8" w:rsidRDefault="00245FE8"/>
        </w:tc>
        <w:tc>
          <w:tcPr>
            <w:tcW w:w="67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spacing w:after="17" w:line="239" w:lineRule="auto"/>
              <w:ind w:left="2" w:right="10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koncepcja filozofii pierwszej</w:t>
            </w:r>
            <w:r>
              <w:rPr>
                <w:rFonts w:ascii="Arial" w:eastAsia="Arial" w:hAnsi="Arial" w:cs="Arial"/>
                <w:sz w:val="20"/>
              </w:rPr>
              <w:t xml:space="preserve">. Odkrycie Cogito. Przesuniecie zainteresowań filozofii z ontologii na filozofię poznania. Wątpliwości związane z istnieniem świata zewnętrznego. </w:t>
            </w:r>
            <w:r>
              <w:rPr>
                <w:rFonts w:ascii="Arial" w:eastAsia="Arial" w:hAnsi="Arial" w:cs="Arial"/>
                <w:b/>
                <w:sz w:val="20"/>
              </w:rPr>
              <w:t>Dedukcjonizm Kartezjusza</w:t>
            </w:r>
            <w:r>
              <w:rPr>
                <w:rFonts w:ascii="Arial" w:eastAsia="Arial" w:hAnsi="Arial" w:cs="Arial"/>
                <w:sz w:val="20"/>
              </w:rPr>
              <w:t>. Narzędzia rozumu: intuicja, dedukcja, analiza i synteza. Metafizyka i fizyka: dwa filary programu Kartezjusza. Bóg jako fundament prawomocności poznania.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Sceptycyzm metodologiczny i jego konsekwencje</w:t>
            </w:r>
            <w:r>
              <w:rPr>
                <w:rFonts w:ascii="Arial" w:eastAsia="Arial" w:hAnsi="Arial" w:cs="Arial"/>
                <w:sz w:val="20"/>
              </w:rPr>
              <w:t xml:space="preserve">. Nowożytny wynalazek umysłu.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Mentalistyczna filozofia poznania Kartezjusza. </w:t>
            </w:r>
            <w:r>
              <w:rPr>
                <w:rFonts w:ascii="Arial" w:eastAsia="Arial" w:hAnsi="Arial" w:cs="Arial"/>
                <w:sz w:val="20"/>
              </w:rPr>
              <w:t xml:space="preserve">Ewidencjalistyczna teoria prawdy. Stosunek Kartezjusza do klasycznej teorii prawdy. </w:t>
            </w:r>
            <w:r>
              <w:rPr>
                <w:rFonts w:ascii="Arial" w:eastAsia="Arial" w:hAnsi="Arial" w:cs="Arial"/>
                <w:b/>
                <w:sz w:val="20"/>
              </w:rPr>
              <w:t>Geneza i źródła wiedzy</w:t>
            </w:r>
            <w:r>
              <w:rPr>
                <w:rFonts w:ascii="Arial" w:eastAsia="Arial" w:hAnsi="Arial" w:cs="Arial"/>
                <w:sz w:val="20"/>
              </w:rPr>
              <w:t xml:space="preserve">. Kryteria wiedzy pewnej. Wartość introspekcji. Trzy rodzaje idei. Racjonalizm genetyczny </w:t>
            </w:r>
          </w:p>
          <w:p w:rsidR="00245FE8" w:rsidRDefault="00356FA8">
            <w:pPr>
              <w:tabs>
                <w:tab w:val="center" w:pos="526"/>
                <w:tab w:val="center" w:pos="2498"/>
                <w:tab w:val="center" w:pos="4138"/>
                <w:tab w:val="center" w:pos="6205"/>
              </w:tabs>
            </w:pPr>
            <w:r>
              <w:tab/>
            </w:r>
            <w:r>
              <w:rPr>
                <w:rFonts w:ascii="Arial" w:eastAsia="Arial" w:hAnsi="Arial" w:cs="Arial"/>
                <w:sz w:val="20"/>
              </w:rPr>
              <w:t xml:space="preserve">Kartezjusza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i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jego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założenia. 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5FE8">
        <w:trPr>
          <w:trHeight w:val="184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ind w:right="107" w:firstLine="2"/>
              <w:jc w:val="both"/>
            </w:pPr>
            <w:r>
              <w:rPr>
                <w:rFonts w:ascii="Courier New" w:eastAsia="Courier New" w:hAnsi="Courier New" w:cs="Courier New"/>
                <w:b/>
                <w:sz w:val="20"/>
              </w:rPr>
              <w:t>Sprawa relacji między umysłem a ciałem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 z perspektywy metafizyki i fizyki nowożytnej. Problem tzw. mostu. Sprawa dualizmu psychofizycznego i jego implikacje. </w:t>
            </w:r>
            <w:r>
              <w:rPr>
                <w:rFonts w:ascii="Courier New" w:eastAsia="Courier New" w:hAnsi="Courier New" w:cs="Courier New"/>
                <w:b/>
                <w:sz w:val="20"/>
              </w:rPr>
              <w:t>Nowożytne spory o naturę świata. Konsekwencje dualizmu Kartezjusza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: dwie linie rozwojowe: Idealizm: (N. </w:t>
            </w:r>
          </w:p>
          <w:p w:rsidR="00245FE8" w:rsidRDefault="00356FA8">
            <w:pPr>
              <w:ind w:right="108"/>
              <w:jc w:val="both"/>
            </w:pPr>
            <w:r>
              <w:rPr>
                <w:rFonts w:ascii="Courier New" w:eastAsia="Courier New" w:hAnsi="Courier New" w:cs="Courier New"/>
                <w:sz w:val="20"/>
              </w:rPr>
              <w:t xml:space="preserve">Malebranche, A. Geulinex) – materializm (P. Gassendi, T. Hobbes). Radykalizacja dualizmu w myśli okazjonalistycznej.    </w:t>
            </w:r>
            <w:r>
              <w:rPr>
                <w:rFonts w:ascii="Courier New" w:eastAsia="Courier New" w:hAnsi="Courier New" w:cs="Courier New"/>
                <w:b/>
                <w:sz w:val="20"/>
              </w:rPr>
              <w:t>1 godz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. </w:t>
            </w:r>
          </w:p>
        </w:tc>
      </w:tr>
      <w:tr w:rsidR="00245FE8">
        <w:trPr>
          <w:trHeight w:val="162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ind w:left="2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Materializm mechanistyczny T. Hobbesa</w:t>
            </w:r>
            <w:r>
              <w:rPr>
                <w:rFonts w:ascii="Arial" w:eastAsia="Arial" w:hAnsi="Arial" w:cs="Arial"/>
                <w:sz w:val="20"/>
              </w:rPr>
              <w:t>. Filozofia polityczna Hobbesa jako konsekwencja mechanistycznej koncepcji przyrody. Antropologia naturalistyczna Hobbesa. Trzy sposoby rozumienia pojęcie stanu naturalnego. Geneza państwa politycznego. Geneza i konsekwencje umowy społecznej. Mechanistyczna wizja państwa (</w:t>
            </w:r>
            <w:r>
              <w:rPr>
                <w:rFonts w:ascii="Arial" w:eastAsia="Arial" w:hAnsi="Arial" w:cs="Arial"/>
                <w:i/>
                <w:sz w:val="20"/>
              </w:rPr>
              <w:t>Lewiatan</w:t>
            </w:r>
            <w:r>
              <w:rPr>
                <w:rFonts w:ascii="Arial" w:eastAsia="Arial" w:hAnsi="Arial" w:cs="Arial"/>
                <w:sz w:val="20"/>
              </w:rPr>
              <w:t>). Granice ludzkiej wolności. Uprawnienia suwerena.</w:t>
            </w:r>
            <w:r>
              <w:rPr>
                <w:rFonts w:ascii="Arial" w:eastAsia="Arial" w:hAnsi="Arial" w:cs="Arial"/>
                <w:color w:val="00808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Rola państwa: autorytaryzm czy liberalizm?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5FE8">
        <w:trPr>
          <w:trHeight w:val="116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spacing w:after="5"/>
              <w:ind w:left="2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Opozycje wobec dualizmu psychofizycznego Kartezjusza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b/>
                <w:sz w:val="20"/>
              </w:rPr>
              <w:t>Filozofia Spinozy</w:t>
            </w:r>
            <w:r>
              <w:rPr>
                <w:rFonts w:ascii="Arial" w:eastAsia="Arial" w:hAnsi="Arial" w:cs="Arial"/>
                <w:sz w:val="20"/>
              </w:rPr>
              <w:t>. Co to jest substancja?</w:t>
            </w:r>
            <w:r>
              <w:rPr>
                <w:rFonts w:ascii="Arial" w:eastAsia="Arial" w:hAnsi="Arial" w:cs="Arial"/>
                <w:i/>
                <w:sz w:val="20"/>
              </w:rPr>
              <w:t>Deus sive Natura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i/>
                <w:sz w:val="20"/>
              </w:rPr>
              <w:t>Natura naturata</w:t>
            </w:r>
            <w:r>
              <w:rPr>
                <w:rFonts w:ascii="Arial" w:eastAsia="Arial" w:hAnsi="Arial" w:cs="Arial"/>
                <w:sz w:val="20"/>
              </w:rPr>
              <w:t xml:space="preserve"> – </w:t>
            </w:r>
            <w:r>
              <w:rPr>
                <w:rFonts w:ascii="Arial" w:eastAsia="Arial" w:hAnsi="Arial" w:cs="Arial"/>
                <w:i/>
                <w:sz w:val="20"/>
              </w:rPr>
              <w:t>natura naturans</w:t>
            </w:r>
            <w:r>
              <w:rPr>
                <w:rFonts w:ascii="Arial" w:eastAsia="Arial" w:hAnsi="Arial" w:cs="Arial"/>
                <w:sz w:val="20"/>
              </w:rPr>
              <w:t xml:space="preserve">. Spór Spinozy z Kartezjuszem: paralelizm psychofizyczny. Metoda matematyczna jako narzędzie dochodzenia do wiedzy pewnej.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Aksjomatyzacja wiedzy. Problem tożsamości.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</w:tc>
      </w:tr>
      <w:tr w:rsidR="00245FE8">
        <w:trPr>
          <w:trHeight w:val="277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7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spacing w:after="4" w:line="241" w:lineRule="auto"/>
              <w:ind w:left="2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Leibniza</w:t>
            </w:r>
            <w:r>
              <w:rPr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Pluralizm ontologiczny </w:t>
            </w:r>
            <w:r>
              <w:rPr>
                <w:rFonts w:ascii="Arial" w:eastAsia="Arial" w:hAnsi="Arial" w:cs="Arial"/>
                <w:sz w:val="20"/>
              </w:rPr>
              <w:t xml:space="preserve">(metafizyczny) jako reakcja na dualizm Kartezjusza i monizm Spinozy. Próba formalizacji wiedzy: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Lingua characteristica. </w:t>
            </w:r>
            <w:r>
              <w:rPr>
                <w:rFonts w:ascii="Arial" w:eastAsia="Arial" w:hAnsi="Arial" w:cs="Arial"/>
                <w:sz w:val="20"/>
              </w:rPr>
              <w:t xml:space="preserve">Panmatematyzmi panlogiczny pluralizm: monadologia. Jedność świata: harmonia jako nieskończona różnorodność jednostkowych monad. Prawo ciągłości. Logika, fizyka i metafizyka – trzy filary ontologii. Przekroczenie dualizmu Kartezjusza i monizmu Spinozy. Modalna natura świata i granice przygodności. Światy faktyczne i światy możliwe. Niesprzeczność jako logiczna podstawa bytu. Leibnizjańska koncepcja substancji jako podmiotu zmian (monada). Dwie logiczne zasady ontologii: zasad niesprzeczności i racji dostatecznej oraz ich konsekwencje. Granice konieczności mechanicznych: przyczyny sprawcze a przyczyny celowe.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Mechanistyczna i teleologiczna perspektywa wyjaśniania  świata.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</w:tc>
      </w:tr>
      <w:tr w:rsidR="00245FE8">
        <w:trPr>
          <w:trHeight w:val="2749"/>
        </w:trPr>
        <w:tc>
          <w:tcPr>
            <w:tcW w:w="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lastRenderedPageBreak/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2" w:right="10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poznania Leibniza</w:t>
            </w:r>
            <w:r>
              <w:rPr>
                <w:rFonts w:ascii="Arial" w:eastAsia="Arial" w:hAnsi="Arial" w:cs="Arial"/>
                <w:sz w:val="20"/>
              </w:rPr>
              <w:t xml:space="preserve">: prawdy rozumowe i faktyczne. Podmiotowoorzecznikowa natura sądów i jej konsekwencje teoretyczne: prawdy skończenie analityczne i nieskończenie analityczne. Stanowisko Leibniza wobec sporu racjonalistów z empirystami: obrona racjonalizmu umiarkowanego. Polemika Leibniza z Lockiem: granice doświadczenia.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Przygodność i konieczność; sprawa ludzkiej wolności. </w:t>
            </w:r>
            <w:r>
              <w:rPr>
                <w:rFonts w:ascii="Arial" w:eastAsia="Arial" w:hAnsi="Arial" w:cs="Arial"/>
                <w:sz w:val="20"/>
              </w:rPr>
              <w:t xml:space="preserve">Konieczność logiczna a konieczność hipotetyczna. Przezwyciężenie determinizmu Spinozy i mechanicyzmu Kartezjusza. Prawo tożsamości i prawo ciągłości. Leibnizjański optymizm metafizyczny: próba obrony wolności człowieka w świecie wybranym przez Boga. Przygodność i konieczność w ujęciu </w:t>
            </w:r>
          </w:p>
          <w:p w:rsidR="00245FE8" w:rsidRDefault="00356FA8">
            <w:pPr>
              <w:ind w:left="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Leibniza.                                                                                                           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</w:tbl>
    <w:p w:rsidR="00245FE8" w:rsidRDefault="00245FE8">
      <w:pPr>
        <w:spacing w:after="0"/>
        <w:ind w:left="-1417" w:right="899"/>
      </w:pPr>
    </w:p>
    <w:tbl>
      <w:tblPr>
        <w:tblStyle w:val="TableGrid"/>
        <w:tblW w:w="7230" w:type="dxa"/>
        <w:tblInd w:w="1276" w:type="dxa"/>
        <w:tblCellMar>
          <w:top w:w="51" w:type="dxa"/>
          <w:left w:w="10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2811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lastRenderedPageBreak/>
              <w:t xml:space="preserve"> </w:t>
            </w:r>
          </w:p>
          <w:p w:rsidR="00245FE8" w:rsidRDefault="00356FA8">
            <w:pPr>
              <w:tabs>
                <w:tab w:val="center" w:pos="37"/>
                <w:tab w:val="center" w:pos="3084"/>
              </w:tabs>
            </w:pPr>
            <w:r>
              <w:tab/>
            </w: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b/>
              </w:rPr>
              <w:t>Nowożytne spory wokół substancji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rFonts w:ascii="Arial" w:eastAsia="Arial" w:hAnsi="Arial" w:cs="Arial"/>
                <w:b/>
              </w:rPr>
              <w:t>Podsumowanie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sz w:val="16"/>
              </w:rPr>
              <w:t xml:space="preserve"> </w:t>
            </w:r>
          </w:p>
          <w:p w:rsidR="00245FE8" w:rsidRDefault="00356FA8">
            <w:pPr>
              <w:ind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Redukcjonizm ontologiczny. Spory o naturę substancji: Kartezjusz Spinoza, Leibniz. Kartezjańskie pojecie substancji jako podłoża właściwości. Spinozjańska jedność substancji: substancja i jej atrybuty. Leibnizjańska koncepcja substancji jako podłoża dynamiki (energii).                                            </w:t>
            </w:r>
          </w:p>
          <w:p w:rsidR="00245FE8" w:rsidRDefault="00356FA8">
            <w:pPr>
              <w:spacing w:line="237" w:lineRule="auto"/>
              <w:ind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Nowożytne spory wokół ruchu, jego natury i źródeł</w:t>
            </w:r>
            <w:r>
              <w:rPr>
                <w:rFonts w:ascii="Arial" w:eastAsia="Arial" w:hAnsi="Arial" w:cs="Arial"/>
                <w:sz w:val="20"/>
              </w:rPr>
              <w:t>. Sprawa przestrzenności ciał: Kartezjusz-Spinoza-Leibniz. Problem statusu czasu i przestrzeni: polemika Leibniza z Kartezjuszem i Newtonem. Waga praw mechaniki i jej ograniczenia; zmiany mechanistyczne i celowościowe.Teleologia Leibniza.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spacing w:after="4" w:line="236" w:lineRule="auto"/>
              <w:ind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Nowożytne spory wokół miejsca i roli Boga</w:t>
            </w:r>
            <w:r>
              <w:rPr>
                <w:rFonts w:ascii="Arial" w:eastAsia="Arial" w:hAnsi="Arial" w:cs="Arial"/>
                <w:sz w:val="20"/>
              </w:rPr>
              <w:t xml:space="preserve">. Kartezjusz: Bóg jako źródło ruchu. Immanentyzacja Boga i jej konsekwencje w filozofii Spinozy. Miejsce i rola Boga w systemie Leibniza. Bóg filozofów i Bóg teologów. Bóg Pascala. Bóg Locke’ a Bóg Berkeleya. 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360" w:right="108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J. Locke wobec sporów nowożytności</w:t>
            </w:r>
            <w:r>
              <w:rPr>
                <w:rFonts w:ascii="Arial" w:eastAsia="Arial" w:hAnsi="Arial" w:cs="Arial"/>
                <w:sz w:val="20"/>
              </w:rPr>
              <w:t xml:space="preserve">. Sprawa dostępu do tzw. świata zewnętrznego: skąd wiem to, co wiemy? Jakości pierwotne i wtórne. Stanowisko Locke’a w sprawie natury substancji. Filozofia poznania. Spór o naturę i genezę pojęć. Natura idei. Krytyka idei wrodzonych. Umysł jako </w:t>
            </w:r>
            <w:r>
              <w:rPr>
                <w:rFonts w:ascii="Arial" w:eastAsia="Arial" w:hAnsi="Arial" w:cs="Arial"/>
                <w:i/>
                <w:sz w:val="20"/>
              </w:rPr>
              <w:t>tabula rasa</w:t>
            </w:r>
            <w:r>
              <w:rPr>
                <w:rFonts w:ascii="Arial" w:eastAsia="Arial" w:hAnsi="Arial" w:cs="Arial"/>
                <w:sz w:val="20"/>
              </w:rPr>
              <w:t>. Podział idei na proste i złożone. Granice poznania: wiedza nie sięga poza nasze idee. Sprawa idei negatywnych.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9" w:line="239" w:lineRule="auto"/>
              <w:ind w:right="108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Granice realizmu. </w:t>
            </w:r>
            <w:r>
              <w:rPr>
                <w:rFonts w:ascii="Arial" w:eastAsia="Arial" w:hAnsi="Arial" w:cs="Arial"/>
                <w:b/>
                <w:sz w:val="20"/>
              </w:rPr>
              <w:t>Spór o naturę ludzkiej tożsamości</w:t>
            </w:r>
            <w:r>
              <w:rPr>
                <w:rFonts w:ascii="Arial" w:eastAsia="Arial" w:hAnsi="Arial" w:cs="Arial"/>
                <w:sz w:val="20"/>
              </w:rPr>
              <w:t xml:space="preserve">; rola świadomości i pamięci w konstytuowaniu się tożsamości człowieka (przygodność tożsamości).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sz w:val="16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spacing w:after="12" w:line="238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polityczna Locke’a</w:t>
            </w:r>
            <w:r>
              <w:rPr>
                <w:rFonts w:ascii="Arial" w:eastAsia="Arial" w:hAnsi="Arial" w:cs="Arial"/>
                <w:sz w:val="20"/>
              </w:rPr>
              <w:t xml:space="preserve">. Stan natury a społeczeństwo polityczne. Filozofia prawa naturalnego. Umowa społeczna i jej geneza. Liberalizm polityczny J. Locke’a: polemika z R. Filmerem i T. Hobbsem. Apologia własności. Narodziny liberalizmu nowożytnego. Filozofia społeczeństwa obywatelskiego: podział władzy, rozdział władzy świeckiej od kościelnej, tolerancja jako podstawowa cnota obywatelska. </w:t>
            </w:r>
            <w:r>
              <w:rPr>
                <w:rFonts w:ascii="Arial" w:eastAsia="Arial" w:hAnsi="Arial" w:cs="Arial"/>
                <w:b/>
                <w:sz w:val="20"/>
              </w:rPr>
              <w:t>Filozofia władzy politycznej Monteskiusza; trójstopniowa struktura władzy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spacing w:after="17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G. Berkeley</w:t>
            </w:r>
            <w:r>
              <w:rPr>
                <w:rFonts w:ascii="Arial" w:eastAsia="Arial" w:hAnsi="Arial" w:cs="Arial"/>
                <w:sz w:val="20"/>
              </w:rPr>
              <w:t xml:space="preserve">: radykalizacja empiryzmu Locke’a. </w:t>
            </w:r>
            <w:r>
              <w:rPr>
                <w:rFonts w:ascii="Arial" w:eastAsia="Arial" w:hAnsi="Arial" w:cs="Arial"/>
                <w:i/>
                <w:sz w:val="20"/>
              </w:rPr>
              <w:t>Esseestpercipi</w:t>
            </w:r>
            <w:r>
              <w:rPr>
                <w:rFonts w:ascii="Arial" w:eastAsia="Arial" w:hAnsi="Arial" w:cs="Arial"/>
                <w:sz w:val="20"/>
              </w:rPr>
              <w:t xml:space="preserve">; redukcja ontologii do epistemologii. Krytyka realizmu epistemologicznego. Odrzucenie podziału na jakości pierwotne i wtórne i jego konsekwencje: skrajny fenomenalizm i immaterializm. Filozofia poznania: natura i geneza pojęć. Geneza pojęć ogólnych. Krytyka realizmu bezpośredniego; argumenty przeciwko realizmowi. Rola Boga a sprawa ciągłości istnienia. </w:t>
            </w:r>
          </w:p>
          <w:p w:rsidR="00245FE8" w:rsidRDefault="00356FA8">
            <w:pPr>
              <w:tabs>
                <w:tab w:val="center" w:pos="538"/>
                <w:tab w:val="center" w:pos="1410"/>
                <w:tab w:val="center" w:pos="2460"/>
                <w:tab w:val="center" w:pos="3726"/>
                <w:tab w:val="center" w:pos="4920"/>
                <w:tab w:val="center" w:pos="6363"/>
              </w:tabs>
            </w:pPr>
            <w:r>
              <w:tab/>
            </w:r>
            <w:r>
              <w:rPr>
                <w:rFonts w:ascii="Arial" w:eastAsia="Arial" w:hAnsi="Arial" w:cs="Arial"/>
                <w:sz w:val="20"/>
              </w:rPr>
              <w:t xml:space="preserve">Bóg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jako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gwarant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realności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świata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zewnętrznego.  </w:t>
            </w:r>
          </w:p>
          <w:p w:rsidR="00245FE8" w:rsidRDefault="00356FA8">
            <w:pPr>
              <w:ind w:left="36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spacing w:after="42" w:line="239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Przewrót D. Hume’a: </w:t>
            </w:r>
            <w:r>
              <w:rPr>
                <w:rFonts w:ascii="Arial" w:eastAsia="Arial" w:hAnsi="Arial" w:cs="Arial"/>
                <w:sz w:val="20"/>
              </w:rPr>
              <w:t xml:space="preserve">destrukcja paradygmatu Kartezjusza. Kres mentalizmu epistemologicznego. Krytyka substancji materialnej i duchowej. Destrukcja Kartezjańskiej koncepcji umysłu. Dewaluacja wiedzy spekulatywnej: krytyka metafizyki. Kłopoty z realnością istnienia: agnostycyzm Hume’a. Stanowisko Hume’a w sprawie natury i genezy pojęć. Geneza treści poznawczych (percepcji).Impresje i idee. Zasady kojarzenia idei (podobieństwo, styczność, zw., przyczynowy).Krytyka koniecznego związku przyczynowego i jej konsekwencje. W poszukiwaniu wiedzy pewnej: kłopoty z indukcją. Dwa typy wiedzy: wiedza o ideach i wiedza o faktach. Filozofia natury ludzkiej: rola uczuć i namiętności. Kłopoty z prawomocnością sądów naukowych: „bezpodstawność” naszej wiedzy. </w:t>
            </w:r>
            <w:r>
              <w:rPr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Nowożytny fundacjonalizm epistemologiczny i jego założenia. Podsumowanie. </w:t>
            </w:r>
          </w:p>
          <w:p w:rsidR="00245FE8" w:rsidRDefault="00356FA8">
            <w:pPr>
              <w:ind w:left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Nowożytne spory wokół genezy i natury wiedzy.  </w:t>
            </w:r>
          </w:p>
        </w:tc>
      </w:tr>
    </w:tbl>
    <w:p w:rsidR="00245FE8" w:rsidRDefault="00356FA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" w:line="239" w:lineRule="auto"/>
        <w:ind w:left="1384"/>
      </w:pPr>
      <w:r>
        <w:rPr>
          <w:rFonts w:ascii="Arial" w:eastAsia="Arial" w:hAnsi="Arial" w:cs="Arial"/>
          <w:sz w:val="20"/>
        </w:rPr>
        <w:lastRenderedPageBreak/>
        <w:t xml:space="preserve">Opozycja empiryczna wobec racjonalizmu Kartezjusza: J. </w:t>
      </w:r>
      <w:r>
        <w:rPr>
          <w:rFonts w:ascii="Arial" w:eastAsia="Arial" w:hAnsi="Arial" w:cs="Arial"/>
          <w:color w:val="008080"/>
          <w:sz w:val="20"/>
        </w:rPr>
        <w:t xml:space="preserve">Locke, G. Berkeley, D. Hume. </w:t>
      </w:r>
      <w:r>
        <w:rPr>
          <w:rFonts w:ascii="Arial" w:eastAsia="Arial" w:hAnsi="Arial" w:cs="Arial"/>
          <w:sz w:val="20"/>
        </w:rPr>
        <w:t xml:space="preserve">Opozycja fideistyczna: </w:t>
      </w:r>
      <w:r>
        <w:rPr>
          <w:rFonts w:ascii="Arial" w:eastAsia="Arial" w:hAnsi="Arial" w:cs="Arial"/>
          <w:b/>
          <w:sz w:val="20"/>
        </w:rPr>
        <w:t>B. Pascal</w:t>
      </w:r>
      <w:r>
        <w:rPr>
          <w:rFonts w:ascii="Arial" w:eastAsia="Arial" w:hAnsi="Arial" w:cs="Arial"/>
          <w:sz w:val="20"/>
        </w:rPr>
        <w:t xml:space="preserve"> - porządek serca a porządek rozumu. Granice racjonalizmu. Granice empiryzmu. </w:t>
      </w:r>
      <w:r>
        <w:rPr>
          <w:rFonts w:ascii="Arial" w:eastAsia="Arial" w:hAnsi="Arial" w:cs="Arial"/>
          <w:b/>
          <w:color w:val="008080"/>
          <w:sz w:val="20"/>
        </w:rPr>
        <w:t>S</w:t>
      </w:r>
      <w:r>
        <w:rPr>
          <w:rFonts w:ascii="Arial" w:eastAsia="Arial" w:hAnsi="Arial" w:cs="Arial"/>
          <w:b/>
          <w:sz w:val="20"/>
        </w:rPr>
        <w:t>pór o genezę i naturę wiedzy</w:t>
      </w:r>
      <w:r>
        <w:rPr>
          <w:rFonts w:ascii="Arial" w:eastAsia="Arial" w:hAnsi="Arial" w:cs="Arial"/>
          <w:sz w:val="20"/>
        </w:rPr>
        <w:t xml:space="preserve">: między racjonalizmem genetycznym (natywizmem) a empiryzmem genetycznym. Aprioryści i aposterioryści nowożytni. </w:t>
      </w:r>
    </w:p>
    <w:p w:rsidR="00245FE8" w:rsidRDefault="00356FA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/>
        <w:ind w:left="1384"/>
      </w:pPr>
      <w:r>
        <w:rPr>
          <w:rFonts w:ascii="Arial" w:eastAsia="Arial" w:hAnsi="Arial" w:cs="Arial"/>
          <w:b/>
          <w:sz w:val="20"/>
        </w:rPr>
        <w:t>1 godz.</w:t>
      </w:r>
      <w:r>
        <w:rPr>
          <w:rFonts w:ascii="Arial" w:eastAsia="Arial" w:hAnsi="Arial" w:cs="Arial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245FE8" w:rsidRDefault="00356FA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"/>
        <w:ind w:left="1384"/>
      </w:pPr>
      <w:r>
        <w:t xml:space="preserve"> </w:t>
      </w:r>
    </w:p>
    <w:p w:rsidR="00245FE8" w:rsidRDefault="00356FA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7230" w:type="dxa"/>
        <w:tblInd w:w="1276" w:type="dxa"/>
        <w:tblCellMar>
          <w:top w:w="50" w:type="dxa"/>
          <w:left w:w="7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070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numPr>
                <w:ilvl w:val="0"/>
                <w:numId w:val="3"/>
              </w:numPr>
              <w:spacing w:after="12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Teoretyczne konsekwencje sceptycyzmu Hume’a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Kant wobec sceptycyzmu Hume’a. Przewrót kopernikański Kanta</w:t>
            </w:r>
            <w:r>
              <w:rPr>
                <w:rFonts w:ascii="Arial" w:eastAsia="Arial" w:hAnsi="Arial" w:cs="Arial"/>
                <w:sz w:val="20"/>
              </w:rPr>
              <w:t xml:space="preserve">: zakwestionowanie tradycyjnej epistemologii: dwa pnie poznania. Krytyka czystego rozumu. Kant wobec fizyki Newtona: czy nauka opisuje świat takim, jakim on jest „sam w sobie”? </w:t>
            </w:r>
            <w:r>
              <w:rPr>
                <w:rFonts w:ascii="Arial" w:eastAsia="Arial" w:hAnsi="Arial" w:cs="Arial"/>
                <w:b/>
                <w:sz w:val="20"/>
              </w:rPr>
              <w:t>Granice wiedzy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Trójpoziomowa struktura wiedzy o świecie</w:t>
            </w:r>
            <w:r>
              <w:rPr>
                <w:rFonts w:ascii="Arial" w:eastAsia="Arial" w:hAnsi="Arial" w:cs="Arial"/>
                <w:sz w:val="20"/>
              </w:rPr>
              <w:t xml:space="preserve">. Teoria sądów. </w:t>
            </w:r>
            <w:r>
              <w:rPr>
                <w:rFonts w:ascii="Arial" w:eastAsia="Arial" w:hAnsi="Arial" w:cs="Arial"/>
                <w:b/>
                <w:sz w:val="20"/>
              </w:rPr>
              <w:t>Granice rozumu teoretycznego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line="242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Granice prawomocności wiedzy</w:t>
            </w:r>
            <w:r>
              <w:rPr>
                <w:rFonts w:ascii="Arial" w:eastAsia="Arial" w:hAnsi="Arial" w:cs="Arial"/>
                <w:sz w:val="20"/>
              </w:rPr>
              <w:t xml:space="preserve">. Jak wiedza jest możliwa? Kryzys nowożytnej idei reprezentacji.  </w:t>
            </w:r>
          </w:p>
          <w:p w:rsidR="00245FE8" w:rsidRDefault="00356FA8">
            <w:pPr>
              <w:spacing w:after="13" w:line="239" w:lineRule="auto"/>
              <w:ind w:left="361"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Dewaluacja ‘prawdziwościowych’ modeli poznania. Przezwyciężenie empiryzmu i racjonalizmu nowożytnego.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Filozofia krytyczna Kanta: </w:t>
            </w:r>
            <w:r>
              <w:rPr>
                <w:rFonts w:ascii="Arial" w:eastAsia="Arial" w:hAnsi="Arial" w:cs="Arial"/>
                <w:sz w:val="20"/>
              </w:rPr>
              <w:t xml:space="preserve">granice ludzkich  kompetencji poznawczych. </w:t>
            </w:r>
            <w:r>
              <w:rPr>
                <w:rFonts w:ascii="Arial" w:eastAsia="Arial" w:hAnsi="Arial" w:cs="Arial"/>
                <w:b/>
                <w:sz w:val="20"/>
              </w:rPr>
              <w:t>Nowa koncepcja pomiotu ludzkiego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ja transcendentalne</w:t>
            </w:r>
            <w:r>
              <w:rPr>
                <w:rFonts w:ascii="Arial" w:eastAsia="Arial" w:hAnsi="Arial" w:cs="Arial"/>
                <w:sz w:val="20"/>
              </w:rPr>
              <w:t xml:space="preserve"> (transcendentalna jedność apercepcji).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Transcendentalizm Kanta: </w:t>
            </w:r>
            <w:r>
              <w:rPr>
                <w:rFonts w:ascii="Arial" w:eastAsia="Arial" w:hAnsi="Arial" w:cs="Arial"/>
                <w:sz w:val="20"/>
              </w:rPr>
              <w:t xml:space="preserve">sprawa prawomocności poznania. Kryzys spekulatywnych syntez metafizycznych. Kantowski sprzeciw wobec tradycyjnej metafizyki. Czy i jak jest możliwa metafizyka?   </w:t>
            </w:r>
            <w:r>
              <w:rPr>
                <w:rFonts w:ascii="Arial" w:eastAsia="Arial" w:hAnsi="Arial" w:cs="Arial"/>
                <w:b/>
                <w:sz w:val="20"/>
              </w:rPr>
              <w:t>3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22" w:line="239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praktycznego rozumu</w:t>
            </w:r>
            <w:r>
              <w:rPr>
                <w:rFonts w:ascii="Arial" w:eastAsia="Arial" w:hAnsi="Arial" w:cs="Arial"/>
                <w:sz w:val="20"/>
              </w:rPr>
              <w:t xml:space="preserve">: człowiek wobec wyzwań moralnych. Sprawa ludzkiej wolności. Człowiek jako podmiot moralny. Etyka bez kodeksu.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30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Ogólna charakterystyka Oświecenia. Oświeceniowe koncepcje dziejów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historiozofia niemieckiego i francuskiego Oświecenia. Spór o podmiot dziejów i naturę historii: A.N. Condorcet – J.J. Rousseau.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godz. </w:t>
            </w:r>
            <w:r>
              <w:rPr>
                <w:rFonts w:ascii="Arial" w:eastAsia="Arial" w:hAnsi="Arial" w:cs="Arial"/>
                <w:sz w:val="20"/>
              </w:rPr>
              <w:t>Nowożytny materializm mechanistyczny (</w:t>
            </w:r>
            <w:r>
              <w:rPr>
                <w:rFonts w:ascii="Arial" w:eastAsia="Arial" w:hAnsi="Arial" w:cs="Arial"/>
                <w:b/>
                <w:sz w:val="20"/>
              </w:rPr>
              <w:t>Holbach, Diderot, Helwecjusz, La Mettrie). W poszukiwaniu racjonalnej formy rządzenia</w:t>
            </w:r>
            <w:r>
              <w:rPr>
                <w:rFonts w:ascii="Arial" w:eastAsia="Arial" w:hAnsi="Arial" w:cs="Arial"/>
                <w:sz w:val="20"/>
              </w:rPr>
              <w:t xml:space="preserve">: dwa modele demokracji: J. Locke–J.J.Rousseau. </w:t>
            </w:r>
            <w:r>
              <w:rPr>
                <w:rFonts w:ascii="Arial" w:eastAsia="Arial" w:hAnsi="Arial" w:cs="Arial"/>
                <w:b/>
                <w:sz w:val="20"/>
              </w:rPr>
              <w:t>Nowożytne spory o naturę i kompetencje władzy politycznej</w:t>
            </w:r>
            <w:r>
              <w:rPr>
                <w:rFonts w:ascii="Arial" w:eastAsia="Arial" w:hAnsi="Arial" w:cs="Arial"/>
                <w:sz w:val="20"/>
              </w:rPr>
              <w:t>. Hobbes, Locke, Rousseau, Monteskiusz. Podsumowanie.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Oświeceniowe spory w sprawie genezy i wartości własności </w:t>
            </w:r>
          </w:p>
          <w:p w:rsidR="00245FE8" w:rsidRDefault="00356FA8">
            <w:pPr>
              <w:spacing w:after="1" w:line="238" w:lineRule="auto"/>
              <w:ind w:left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prywatnej: </w:t>
            </w:r>
            <w:r>
              <w:rPr>
                <w:rFonts w:ascii="Arial" w:eastAsia="Arial" w:hAnsi="Arial" w:cs="Arial"/>
                <w:sz w:val="20"/>
              </w:rPr>
              <w:t xml:space="preserve">krytycy i apologeci. Utopia w myśli plebejskiej: </w:t>
            </w:r>
            <w:r>
              <w:rPr>
                <w:rFonts w:ascii="Arial" w:eastAsia="Arial" w:hAnsi="Arial" w:cs="Arial"/>
                <w:b/>
                <w:sz w:val="20"/>
              </w:rPr>
              <w:t>Morelly</w:t>
            </w:r>
            <w:r>
              <w:rPr>
                <w:rFonts w:ascii="Arial" w:eastAsia="Arial" w:hAnsi="Arial" w:cs="Arial"/>
                <w:sz w:val="20"/>
              </w:rPr>
              <w:t xml:space="preserve">i </w:t>
            </w:r>
            <w:r>
              <w:rPr>
                <w:rFonts w:ascii="Arial" w:eastAsia="Arial" w:hAnsi="Arial" w:cs="Arial"/>
                <w:b/>
                <w:sz w:val="20"/>
              </w:rPr>
              <w:t>Mably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3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Nowożytne spory wokół Kantowskich noumenów.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2" w:line="239" w:lineRule="auto"/>
              <w:ind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Klasyczna filozofia niemiecka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b/>
                <w:sz w:val="20"/>
              </w:rPr>
              <w:t>J. G. Fichte’go filozofia czynu</w:t>
            </w:r>
            <w:r>
              <w:rPr>
                <w:rFonts w:ascii="Arial" w:eastAsia="Arial" w:hAnsi="Arial" w:cs="Arial"/>
                <w:sz w:val="20"/>
              </w:rPr>
              <w:t xml:space="preserve"> jako radykalizacja Kantowskiego przewrotu kopernikańskiego. Świat jako ludzka eksterioryzacja. Fichte a filozofia romantyczna.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11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Romantyzm</w:t>
            </w:r>
            <w:r>
              <w:rPr>
                <w:rFonts w:ascii="Arial" w:eastAsia="Arial" w:hAnsi="Arial" w:cs="Arial"/>
                <w:sz w:val="20"/>
              </w:rPr>
              <w:t xml:space="preserve">: przeciwko nadużyciom rozumu oświeceniowego. Główne założenia filozofii romantycznej. Wolność jako podstawowe zagadnienie polityczno-moralne.F. W. J. Schellinga próba pogodzenia Kanta z Fichtem.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18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Przewrót Hegla: </w:t>
            </w:r>
            <w:r>
              <w:rPr>
                <w:rFonts w:ascii="Arial" w:eastAsia="Arial" w:hAnsi="Arial" w:cs="Arial"/>
                <w:sz w:val="20"/>
              </w:rPr>
              <w:t xml:space="preserve">dialektyczna teoria rzeczywistości: przezwyciężenie nowożytnego dualizmu. Panlogiczny charakter dziejów. Historyczność ludzkiej egzystencji. Dialektyka Heglowska i jej specyfika. Koncepcja alienacji: wymiar ontologiczny, historyczny i antropologiczny.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Teoria państwa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N</w:t>
            </w:r>
            <w:r>
              <w:rPr>
                <w:rFonts w:ascii="Arial" w:eastAsia="Arial" w:hAnsi="Arial" w:cs="Arial"/>
                <w:sz w:val="20"/>
              </w:rPr>
              <w:t xml:space="preserve">atura historii. Dzieje filozofii jako proces postępu samowiedzy. Idea „chytrości rozumu”. Dialektyczna racjonalizacja teologii. </w:t>
            </w:r>
          </w:p>
          <w:p w:rsidR="00245FE8" w:rsidRDefault="00356FA8">
            <w:pPr>
              <w:tabs>
                <w:tab w:val="center" w:pos="1399"/>
                <w:tab w:val="center" w:pos="2007"/>
                <w:tab w:val="center" w:pos="2546"/>
                <w:tab w:val="center" w:pos="3357"/>
                <w:tab w:val="center" w:pos="4084"/>
                <w:tab w:val="center" w:pos="4813"/>
                <w:tab w:val="center" w:pos="5703"/>
                <w:tab w:val="right" w:pos="7152"/>
              </w:tabs>
            </w:pPr>
            <w:r>
              <w:rPr>
                <w:rFonts w:ascii="Arial" w:eastAsia="Arial" w:hAnsi="Arial" w:cs="Arial"/>
                <w:b/>
                <w:sz w:val="20"/>
              </w:rPr>
              <w:t xml:space="preserve">Wartość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Hegla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i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jego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wpływ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na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dalsze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dzieje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filozofii. 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5FE8">
        <w:trPr>
          <w:trHeight w:val="10679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tabs>
                <w:tab w:val="center" w:pos="2586"/>
              </w:tabs>
            </w:pPr>
            <w:r>
              <w:rPr>
                <w:rFonts w:ascii="Segoe UI Symbol" w:eastAsia="Segoe UI Symbol" w:hAnsi="Segoe UI Symbol" w:cs="Segoe UI Symbol"/>
                <w:sz w:val="20"/>
              </w:rPr>
              <w:lastRenderedPageBreak/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>Próby przezwyciężenia Hegla (wprowadzenie)</w:t>
            </w:r>
            <w:r>
              <w:rPr>
                <w:rFonts w:ascii="Arial" w:eastAsia="Arial" w:hAnsi="Arial" w:cs="Arial"/>
                <w:sz w:val="20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8" w:lineRule="auto"/>
              <w:ind w:left="30" w:right="357"/>
            </w:pPr>
            <w:r>
              <w:rPr>
                <w:rFonts w:ascii="Arial" w:eastAsia="Arial" w:hAnsi="Arial" w:cs="Arial"/>
                <w:sz w:val="20"/>
              </w:rPr>
              <w:t xml:space="preserve">Transcendentalno-woluntarystyczna (A. Schopenhauer),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Indywidualistyczna (S. Kierkegaard),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30" w:right="2792"/>
            </w:pPr>
            <w:r>
              <w:rPr>
                <w:rFonts w:ascii="Arial" w:eastAsia="Arial" w:hAnsi="Arial" w:cs="Arial"/>
                <w:sz w:val="20"/>
              </w:rPr>
              <w:t xml:space="preserve">Naturalistyczna (L. Feuerbach),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Materialistyczna (K. Marks),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Pozytywistyczna (A. Comte).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godz. </w:t>
            </w:r>
          </w:p>
          <w:p w:rsidR="00245FE8" w:rsidRDefault="00356FA8">
            <w:pPr>
              <w:spacing w:line="243" w:lineRule="auto"/>
              <w:ind w:left="30" w:right="108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Spór Schopenhauera z Heglem</w:t>
            </w:r>
            <w:r>
              <w:rPr>
                <w:rFonts w:ascii="Arial" w:eastAsia="Arial" w:hAnsi="Arial" w:cs="Arial"/>
                <w:sz w:val="20"/>
              </w:rPr>
              <w:t>: świat jako wola i przedstawienie.</w:t>
            </w:r>
            <w:r>
              <w:rPr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Transcendentalny idealizm woluntarystyczny. Metafizyka woli i jej konsekwencje etyczne. Wpływ Kanta i filozofii indyjskiej na poglądy Schopenhauera. Rola sztuki w procesie wyzwalania się ze świata fenomenów.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Etyka współczucia.                                 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spacing w:after="5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893" name="Group 288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72" name="Shape 31772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893" style="width:353.64pt;height:1.5pt;mso-position-horizontal-relative:char;mso-position-vertical-relative:line" coordsize="44912,190">
                      <v:shape id="Shape 31773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tabs>
                <w:tab w:val="center" w:pos="1941"/>
              </w:tabs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>S. Kierkegaard jako krytyk Hegla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Przeciwko teologii racjonalnej</w:t>
            </w:r>
            <w:r>
              <w:rPr>
                <w:rFonts w:ascii="Arial" w:eastAsia="Arial" w:hAnsi="Arial" w:cs="Arial"/>
                <w:sz w:val="20"/>
              </w:rPr>
              <w:t xml:space="preserve">. Człowiek jako podmiot wiary.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44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W poszukiwaniu człowieka autentycznego: egzystencjalny dialog z Bogiem.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Obrachunki z nowożytnością: </w:t>
            </w:r>
            <w:r>
              <w:rPr>
                <w:rFonts w:ascii="Arial" w:eastAsia="Arial" w:hAnsi="Arial" w:cs="Arial"/>
                <w:sz w:val="20"/>
              </w:rPr>
              <w:t xml:space="preserve">Kartezjańska wartość wątpienia i jej granice. </w:t>
            </w:r>
            <w:r>
              <w:rPr>
                <w:rFonts w:ascii="Arial" w:eastAsia="Arial" w:hAnsi="Arial" w:cs="Arial"/>
                <w:b/>
                <w:sz w:val="20"/>
              </w:rPr>
              <w:t>Obrachunki z Kantem</w:t>
            </w:r>
            <w:r>
              <w:rPr>
                <w:rFonts w:ascii="Arial" w:eastAsia="Arial" w:hAnsi="Arial" w:cs="Arial"/>
                <w:sz w:val="20"/>
              </w:rPr>
              <w:t xml:space="preserve">: człowiek w perspektywie rzeczywistości noumenalnej. </w:t>
            </w:r>
            <w:r>
              <w:rPr>
                <w:rFonts w:ascii="Arial" w:eastAsia="Arial" w:hAnsi="Arial" w:cs="Arial"/>
                <w:b/>
                <w:sz w:val="20"/>
              </w:rPr>
              <w:t>Obrachunki z Heglem</w:t>
            </w:r>
            <w:r>
              <w:rPr>
                <w:rFonts w:ascii="Arial" w:eastAsia="Arial" w:hAnsi="Arial" w:cs="Arial"/>
                <w:sz w:val="20"/>
              </w:rPr>
              <w:t xml:space="preserve">: permanentna negatywność myślenia jako droga do egzystencji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autentycznej.Wieczna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aktualność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doświadczenia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Hioba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i Abrahama.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>Teologiczne zawieszenie etyki</w:t>
            </w:r>
            <w:r>
              <w:rPr>
                <w:rFonts w:ascii="Arial" w:eastAsia="Arial" w:hAnsi="Arial" w:cs="Arial"/>
                <w:b/>
                <w:sz w:val="20"/>
              </w:rPr>
              <w:t xml:space="preserve">.              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894" name="Group 288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74" name="Shape 31774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894" style="width:353.64pt;height:1.5pt;mso-position-horizontal-relative:char;mso-position-vertical-relative:line" coordsize="44912,190">
                      <v:shape id="Shape 31775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Lewica i prawica heglowska (ogólna charakterystyka)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Idea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praxis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w klasycznej filozofii niemieckiej i jej konfiguracje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Arial" w:eastAsia="Arial" w:hAnsi="Arial" w:cs="Arial"/>
                <w:b/>
                <w:sz w:val="20"/>
              </w:rPr>
              <w:t>L. Feuerbach</w:t>
            </w:r>
            <w:r>
              <w:rPr>
                <w:rFonts w:ascii="Arial" w:eastAsia="Arial" w:hAnsi="Arial" w:cs="Arial"/>
                <w:sz w:val="20"/>
              </w:rPr>
              <w:t xml:space="preserve"> – filozofia człowieka i problem alienacji. Teologia jako klucz do  antropologii.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200"/>
              <w:ind w:left="30"/>
            </w:pPr>
            <w:r>
              <w:rPr>
                <w:rFonts w:ascii="Arial" w:eastAsia="Arial" w:hAnsi="Arial" w:cs="Arial"/>
              </w:rPr>
              <w:t xml:space="preserve">Przewrót K. Marksa </w:t>
            </w:r>
          </w:p>
          <w:p w:rsidR="00245FE8" w:rsidRDefault="00356FA8">
            <w:pPr>
              <w:spacing w:line="239" w:lineRule="auto"/>
              <w:ind w:left="30"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Trzy źródła filozofii marksistowskiej (klasyczna filozofia niemiecka, ekonomia angielska, socjalizm utopijny).Marksowski projekt przestawiania Hegla „z głowy na nogi”. Praktyczny wymiar myślenia: nowa wizja dziejów. Własność prywatna i sprawa alienacji pracy. Marksowska  filozofia </w:t>
            </w:r>
            <w:r>
              <w:rPr>
                <w:rFonts w:ascii="Arial" w:eastAsia="Arial" w:hAnsi="Arial" w:cs="Arial"/>
                <w:i/>
                <w:sz w:val="20"/>
              </w:rPr>
              <w:t>praxis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Dzieje idei alienacji w myśli niemieckiej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5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895" name="Group 288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76" name="Shape 31776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895" style="width:353.64pt;height:1.5pt;mso-position-horizontal-relative:char;mso-position-vertical-relative:line" coordsize="44912,190">
                      <v:shape id="Shape 31777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line="244" w:lineRule="auto"/>
              <w:ind w:left="39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 xml:space="preserve">Przewrót A. Comte’a: </w:t>
            </w:r>
            <w:r>
              <w:rPr>
                <w:rFonts w:ascii="Arial" w:eastAsia="Arial" w:hAnsi="Arial" w:cs="Arial"/>
                <w:sz w:val="20"/>
              </w:rPr>
              <w:t>narodziny filozofii pozytywnej</w:t>
            </w:r>
            <w:r>
              <w:rPr>
                <w:rFonts w:ascii="Arial" w:eastAsia="Arial" w:hAnsi="Arial" w:cs="Arial"/>
                <w:b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sz w:val="20"/>
              </w:rPr>
              <w:t xml:space="preserve">Prekursorzy i źródła pozytywizmu.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21" w:line="239" w:lineRule="auto"/>
              <w:ind w:left="30" w:right="108"/>
              <w:jc w:val="both"/>
            </w:pPr>
            <w:r>
              <w:rPr>
                <w:rFonts w:ascii="Arial" w:eastAsia="Arial" w:hAnsi="Arial" w:cs="Arial"/>
                <w:sz w:val="20"/>
              </w:rPr>
              <w:t>Reforma nauki: nowa koncepcja naukowości. Miejsce i rola filozofii. Historiozofia Comte’a: teoria trzech stadiów. Teoretyczne konsekwencje przewrotu pozytywistycznego Comte’a. Ogólna charakterystyka pozytywizmu angielskiego: Hume, Bentham i Mill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t xml:space="preserve"> </w:t>
            </w:r>
          </w:p>
        </w:tc>
      </w:tr>
      <w:tr w:rsidR="00245FE8">
        <w:trPr>
          <w:trHeight w:val="278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30"/>
            </w:pPr>
            <w:r>
              <w:t xml:space="preserve">  </w:t>
            </w:r>
          </w:p>
        </w:tc>
      </w:tr>
    </w:tbl>
    <w:p w:rsidR="00245FE8" w:rsidRDefault="00356FA8">
      <w:pPr>
        <w:spacing w:after="180"/>
        <w:ind w:left="1080"/>
      </w:pPr>
      <w:r>
        <w:t xml:space="preserve"> </w:t>
      </w:r>
    </w:p>
    <w:p w:rsidR="00245FE8" w:rsidRDefault="00356FA8">
      <w:pPr>
        <w:spacing w:after="99"/>
      </w:pPr>
      <w:r>
        <w:t xml:space="preserve"> </w:t>
      </w:r>
    </w:p>
    <w:p w:rsidR="00245FE8" w:rsidRDefault="00356FA8">
      <w:pPr>
        <w:spacing w:after="220"/>
        <w:ind w:left="720"/>
      </w:pPr>
      <w:r>
        <w:t>A.</w:t>
      </w:r>
      <w:r>
        <w:rPr>
          <w:rFonts w:ascii="Arial" w:eastAsia="Arial" w:hAnsi="Arial" w:cs="Arial"/>
        </w:rPr>
        <w:t xml:space="preserve"> </w:t>
      </w:r>
      <w:r>
        <w:t xml:space="preserve">Problematyka ćwiczeń  </w:t>
      </w:r>
    </w:p>
    <w:p w:rsidR="00245FE8" w:rsidRDefault="00356FA8">
      <w:pPr>
        <w:spacing w:after="0"/>
      </w:pPr>
      <w:r>
        <w:lastRenderedPageBreak/>
        <w:t xml:space="preserve"> </w:t>
      </w:r>
    </w:p>
    <w:p w:rsidR="00245FE8" w:rsidRDefault="00245FE8">
      <w:pPr>
        <w:spacing w:after="0"/>
        <w:ind w:left="-1417" w:right="899"/>
      </w:pPr>
    </w:p>
    <w:tbl>
      <w:tblPr>
        <w:tblStyle w:val="TableGrid"/>
        <w:tblW w:w="7230" w:type="dxa"/>
        <w:tblInd w:w="1276" w:type="dxa"/>
        <w:tblCellMar>
          <w:top w:w="47" w:type="dxa"/>
          <w:left w:w="107" w:type="dxa"/>
          <w:right w:w="86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278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1"/>
            </w:pPr>
            <w:r>
              <w:t xml:space="preserve">Treści merytoryczne </w:t>
            </w:r>
          </w:p>
        </w:tc>
      </w:tr>
      <w:tr w:rsidR="00245FE8">
        <w:trPr>
          <w:trHeight w:val="12659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Naturalistyczne wątki filozofii Renesansu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G. Cardano, </w:t>
            </w:r>
            <w:r>
              <w:rPr>
                <w:rFonts w:ascii="Arial" w:eastAsia="Arial" w:hAnsi="Arial" w:cs="Arial"/>
                <w:i/>
                <w:sz w:val="20"/>
              </w:rPr>
              <w:t>54 argumenty za śmiertelnością duszy,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P. Pomponazzi, </w:t>
            </w:r>
            <w:r>
              <w:rPr>
                <w:rFonts w:ascii="Arial" w:eastAsia="Arial" w:hAnsi="Arial" w:cs="Arial"/>
                <w:i/>
                <w:sz w:val="20"/>
              </w:rPr>
              <w:t>Naturalne przyczyny niezwykłych zjawisk</w:t>
            </w:r>
            <w:r>
              <w:rPr>
                <w:rFonts w:ascii="Arial" w:eastAsia="Arial" w:hAnsi="Arial" w:cs="Arial"/>
                <w:sz w:val="20"/>
              </w:rPr>
              <w:t xml:space="preserve">, i: </w:t>
            </w:r>
            <w:r>
              <w:rPr>
                <w:rFonts w:ascii="Arial" w:eastAsia="Arial" w:hAnsi="Arial" w:cs="Arial"/>
                <w:i/>
                <w:sz w:val="20"/>
              </w:rPr>
              <w:t>Dusza ludzka w każdej swojej części zależy od organu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Giordano </w:t>
            </w:r>
            <w:r>
              <w:rPr>
                <w:rFonts w:ascii="Arial" w:eastAsia="Arial" w:hAnsi="Arial" w:cs="Arial"/>
                <w:sz w:val="20"/>
              </w:rPr>
              <w:t xml:space="preserve">Bruno, </w:t>
            </w:r>
            <w:r>
              <w:rPr>
                <w:rFonts w:ascii="Arial" w:eastAsia="Arial" w:hAnsi="Arial" w:cs="Arial"/>
                <w:i/>
                <w:sz w:val="20"/>
              </w:rPr>
              <w:t>O braterskim entuzjazmie</w:t>
            </w:r>
            <w:r>
              <w:rPr>
                <w:rFonts w:ascii="Arial" w:eastAsia="Arial" w:hAnsi="Arial" w:cs="Arial"/>
                <w:sz w:val="20"/>
              </w:rPr>
              <w:t xml:space="preserve"> oraz fragm.,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Kambraceńskiakrotyzm oraz G. C. Vanini, O Bogu i religiach oraz Y. Campanella, List do Galileusza </w:t>
            </w:r>
            <w:r>
              <w:rPr>
                <w:rFonts w:ascii="Arial" w:eastAsia="Arial" w:hAnsi="Arial" w:cs="Arial"/>
                <w:sz w:val="20"/>
              </w:rPr>
              <w:t xml:space="preserve">[w:] A. Nowicki (red.) </w:t>
            </w:r>
            <w:r>
              <w:rPr>
                <w:rFonts w:ascii="Arial" w:eastAsia="Arial" w:hAnsi="Arial" w:cs="Arial"/>
                <w:i/>
                <w:sz w:val="20"/>
              </w:rPr>
              <w:t>Filozofia włoskiego Odrodzenia</w:t>
            </w:r>
            <w:r>
              <w:rPr>
                <w:rFonts w:ascii="Arial" w:eastAsia="Arial" w:hAnsi="Arial" w:cs="Arial"/>
                <w:sz w:val="20"/>
              </w:rPr>
              <w:t>, PWN, Warszawa 1967.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Wątki platońskie</w:t>
            </w:r>
            <w:r>
              <w:rPr>
                <w:rFonts w:ascii="Arial" w:eastAsia="Arial" w:hAnsi="Arial" w:cs="Arial"/>
                <w:sz w:val="20"/>
              </w:rPr>
              <w:t xml:space="preserve"> w filozofii Odrodzenia. Analiza: M. M. Ficino, </w:t>
            </w:r>
            <w:r>
              <w:rPr>
                <w:rFonts w:ascii="Arial" w:eastAsia="Arial" w:hAnsi="Arial" w:cs="Arial"/>
                <w:i/>
                <w:sz w:val="20"/>
              </w:rPr>
              <w:t>O nieśmiertelności duszy [w:] A. Nowicki, ibid. Oraz:  Pico Della Mirandola, O godności człowieka.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8" w:lineRule="auto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Rola reformacji w kształtowaniu się świadomości renesansowej</w:t>
            </w:r>
            <w:r>
              <w:rPr>
                <w:rFonts w:ascii="Arial" w:eastAsia="Arial" w:hAnsi="Arial" w:cs="Arial"/>
                <w:sz w:val="20"/>
              </w:rPr>
              <w:t xml:space="preserve">. Dyskusja wokół: Marcin Luter,  </w:t>
            </w:r>
            <w:r>
              <w:rPr>
                <w:rFonts w:ascii="Arial" w:eastAsia="Arial" w:hAnsi="Arial" w:cs="Arial"/>
                <w:i/>
                <w:sz w:val="20"/>
              </w:rPr>
              <w:t>95 Tez.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Rola Arian w kształtowaniu się świadomości nowożytnej. Dyskusja wokół wybranych fragm., </w:t>
            </w:r>
            <w:r>
              <w:rPr>
                <w:rFonts w:ascii="Arial" w:eastAsia="Arial" w:hAnsi="Arial" w:cs="Arial"/>
                <w:i/>
                <w:sz w:val="20"/>
              </w:rPr>
              <w:t>Bracia polscy</w:t>
            </w:r>
            <w:r>
              <w:rPr>
                <w:rFonts w:ascii="Arial" w:eastAsia="Arial" w:hAnsi="Arial" w:cs="Arial"/>
                <w:sz w:val="20"/>
              </w:rPr>
              <w:t xml:space="preserve">, Wydawnictwo Krytyka Polityczna, Warszawa 2013.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 w:right="421"/>
            </w:pPr>
            <w:r>
              <w:rPr>
                <w:rFonts w:ascii="Arial" w:eastAsia="Arial" w:hAnsi="Arial" w:cs="Arial"/>
                <w:b/>
                <w:sz w:val="20"/>
              </w:rPr>
              <w:t>Dyskusja wokół tekstu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Rola etyki protestanckiej w procesie modernizacji</w:t>
            </w:r>
            <w:r>
              <w:rPr>
                <w:rFonts w:ascii="Arial" w:eastAsia="Arial" w:hAnsi="Arial" w:cs="Arial"/>
                <w:sz w:val="20"/>
              </w:rPr>
              <w:t xml:space="preserve"> oraz </w:t>
            </w:r>
            <w:r>
              <w:rPr>
                <w:rFonts w:ascii="Arial" w:eastAsia="Arial" w:hAnsi="Arial" w:cs="Arial"/>
                <w:i/>
                <w:sz w:val="20"/>
              </w:rPr>
              <w:t>Dopasowanie religii dokapitalizmu</w:t>
            </w:r>
            <w:r>
              <w:rPr>
                <w:rFonts w:ascii="Arial" w:eastAsia="Arial" w:hAnsi="Arial" w:cs="Arial"/>
                <w:sz w:val="20"/>
              </w:rPr>
              <w:t xml:space="preserve">, w: T. Buksiński, </w:t>
            </w:r>
            <w:r>
              <w:rPr>
                <w:rFonts w:ascii="Arial" w:eastAsia="Arial" w:hAnsi="Arial" w:cs="Arial"/>
                <w:i/>
                <w:sz w:val="20"/>
              </w:rPr>
              <w:t>Moderność</w:t>
            </w:r>
            <w:r>
              <w:rPr>
                <w:rFonts w:ascii="Arial" w:eastAsia="Arial" w:hAnsi="Arial" w:cs="Arial"/>
                <w:sz w:val="20"/>
              </w:rPr>
              <w:t>, Uniwersytet im. A. Mickiewicza w Poznaniu, Poznań 2001.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 w:right="11"/>
            </w:pPr>
            <w:r>
              <w:rPr>
                <w:rFonts w:ascii="Arial" w:eastAsia="Arial" w:hAnsi="Arial" w:cs="Arial"/>
                <w:b/>
                <w:sz w:val="20"/>
              </w:rPr>
              <w:t>Waga i rola humanizmu renesansowego</w:t>
            </w:r>
            <w:r>
              <w:rPr>
                <w:rFonts w:ascii="Arial" w:eastAsia="Arial" w:hAnsi="Arial" w:cs="Arial"/>
                <w:sz w:val="20"/>
              </w:rPr>
              <w:t xml:space="preserve">: analiza wybranych fragm.: Erazm z Rotterdamu,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Pochwała głupoty </w:t>
            </w:r>
            <w:r>
              <w:rPr>
                <w:rFonts w:ascii="Arial" w:eastAsia="Arial" w:hAnsi="Arial" w:cs="Arial"/>
                <w:sz w:val="20"/>
              </w:rPr>
              <w:t xml:space="preserve">(dowolne wydanie). Dyskusja wokół: L. Kołakowski, </w:t>
            </w:r>
            <w:r>
              <w:rPr>
                <w:rFonts w:ascii="Arial" w:eastAsia="Arial" w:hAnsi="Arial" w:cs="Arial"/>
                <w:i/>
                <w:sz w:val="20"/>
              </w:rPr>
              <w:t>Erazm i jego Bóg</w:t>
            </w:r>
            <w:r>
              <w:rPr>
                <w:rFonts w:ascii="Arial" w:eastAsia="Arial" w:hAnsi="Arial" w:cs="Arial"/>
                <w:sz w:val="20"/>
              </w:rPr>
              <w:t xml:space="preserve">, [w:] </w:t>
            </w:r>
            <w:r>
              <w:rPr>
                <w:rFonts w:ascii="Arial" w:eastAsia="Arial" w:hAnsi="Arial" w:cs="Arial"/>
                <w:i/>
                <w:sz w:val="20"/>
              </w:rPr>
              <w:t>Pochwała niekonsekwencji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i/>
                <w:sz w:val="20"/>
              </w:rPr>
              <w:t>Pisma rozproszone z lat 1955-1968</w:t>
            </w:r>
            <w:r>
              <w:rPr>
                <w:rFonts w:ascii="Arial" w:eastAsia="Arial" w:hAnsi="Arial" w:cs="Arial"/>
                <w:sz w:val="20"/>
              </w:rPr>
              <w:t xml:space="preserve">, Puls Publications, London 1989, s. 13-20.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1" w:right="9"/>
            </w:pPr>
            <w:r>
              <w:rPr>
                <w:rFonts w:ascii="Arial" w:eastAsia="Arial" w:hAnsi="Arial" w:cs="Arial"/>
                <w:b/>
                <w:sz w:val="20"/>
              </w:rPr>
              <w:t>Problem nieskończoności</w:t>
            </w:r>
            <w:r>
              <w:rPr>
                <w:rFonts w:ascii="Arial" w:eastAsia="Arial" w:hAnsi="Arial" w:cs="Arial"/>
                <w:sz w:val="20"/>
              </w:rPr>
              <w:t xml:space="preserve">. Dyskusja wokół tekstu Ch. Seife, </w:t>
            </w:r>
            <w:r>
              <w:rPr>
                <w:rFonts w:ascii="Arial" w:eastAsia="Arial" w:hAnsi="Arial" w:cs="Arial"/>
                <w:i/>
                <w:sz w:val="20"/>
              </w:rPr>
              <w:t>Zero niebezpieczna idea. Koncepcja zera w historii nauki. Od filozofii do matematyki</w:t>
            </w:r>
            <w:r>
              <w:rPr>
                <w:rFonts w:ascii="Arial" w:eastAsia="Arial" w:hAnsi="Arial" w:cs="Arial"/>
                <w:sz w:val="20"/>
              </w:rPr>
              <w:t xml:space="preserve">, Amebr, Warszawa, (rozdz. </w:t>
            </w:r>
            <w:r>
              <w:rPr>
                <w:rFonts w:ascii="Arial" w:eastAsia="Arial" w:hAnsi="Arial" w:cs="Arial"/>
                <w:i/>
                <w:sz w:val="20"/>
              </w:rPr>
              <w:t>Nieskończony Bóg nicości. Teologia zera</w:t>
            </w:r>
            <w:r>
              <w:rPr>
                <w:rFonts w:ascii="Arial" w:eastAsia="Arial" w:hAnsi="Arial" w:cs="Arial"/>
                <w:sz w:val="20"/>
              </w:rPr>
              <w:t xml:space="preserve">, s. 74-90.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4"/>
              </w:numPr>
              <w:ind w:left="168" w:hanging="167"/>
            </w:pPr>
            <w:r>
              <w:rPr>
                <w:rFonts w:ascii="Arial" w:eastAsia="Arial" w:hAnsi="Arial" w:cs="Arial"/>
                <w:b/>
                <w:sz w:val="20"/>
              </w:rPr>
              <w:t xml:space="preserve">godz.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Renesansowa filozofia polityki. Czym winien charakteryzować się polityk renesansowy? </w:t>
            </w:r>
            <w:r>
              <w:rPr>
                <w:rFonts w:ascii="Arial" w:eastAsia="Arial" w:hAnsi="Arial" w:cs="Arial"/>
                <w:sz w:val="20"/>
              </w:rPr>
              <w:t xml:space="preserve">Analiza i dyskusja wokół: N. Machiavelli, </w:t>
            </w:r>
            <w:r>
              <w:rPr>
                <w:rFonts w:ascii="Arial" w:eastAsia="Arial" w:hAnsi="Arial" w:cs="Arial"/>
                <w:i/>
                <w:sz w:val="20"/>
              </w:rPr>
              <w:t>Książę</w:t>
            </w:r>
            <w:r>
              <w:rPr>
                <w:rFonts w:ascii="Arial" w:eastAsia="Arial" w:hAnsi="Arial" w:cs="Arial"/>
                <w:sz w:val="20"/>
              </w:rPr>
              <w:t xml:space="preserve"> (dowolne wydanie). Polityka a wartości.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4"/>
              </w:numPr>
              <w:ind w:left="168" w:hanging="167"/>
            </w:pPr>
            <w:r>
              <w:rPr>
                <w:rFonts w:ascii="Arial" w:eastAsia="Arial" w:hAnsi="Arial" w:cs="Arial"/>
                <w:b/>
                <w:sz w:val="20"/>
              </w:rPr>
              <w:t>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Kryzys optymizmu renesansowego:</w:t>
            </w:r>
            <w:r>
              <w:rPr>
                <w:rFonts w:ascii="Arial" w:eastAsia="Arial" w:hAnsi="Arial" w:cs="Arial"/>
                <w:sz w:val="20"/>
              </w:rPr>
              <w:t xml:space="preserve"> Montaigne i jego antropologia. Wartość </w:t>
            </w:r>
          </w:p>
          <w:p w:rsidR="00245FE8" w:rsidRDefault="00356FA8">
            <w:pPr>
              <w:spacing w:line="238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>myślenia niesystemowego. Analiza: M. Montaigne, Próby (</w:t>
            </w:r>
            <w:r>
              <w:rPr>
                <w:rFonts w:ascii="Arial" w:eastAsia="Arial" w:hAnsi="Arial" w:cs="Arial"/>
                <w:i/>
                <w:sz w:val="20"/>
              </w:rPr>
              <w:t>Pochwała Raymonda Sebonda</w:t>
            </w:r>
            <w:r>
              <w:rPr>
                <w:rFonts w:ascii="Arial" w:eastAsia="Arial" w:hAnsi="Arial" w:cs="Arial"/>
                <w:sz w:val="20"/>
              </w:rPr>
              <w:t xml:space="preserve">) dowolne wydanie.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Dyskusja wokół tekstu: M. Żarowski, </w:t>
            </w:r>
            <w:r>
              <w:rPr>
                <w:rFonts w:ascii="Arial" w:eastAsia="Arial" w:hAnsi="Arial" w:cs="Arial"/>
                <w:i/>
                <w:sz w:val="20"/>
              </w:rPr>
              <w:t>Istnienie jako styl. Renesansowi mistrzowie o godności bytu ludzkiego</w:t>
            </w:r>
            <w:r>
              <w:rPr>
                <w:rFonts w:ascii="Arial" w:eastAsia="Arial" w:hAnsi="Arial" w:cs="Arial"/>
                <w:sz w:val="20"/>
              </w:rPr>
              <w:t xml:space="preserve">, w: „Przegląd Filozoficzno-Literacki”, nr 1-2, 2012, ss. 135-178.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</w:pPr>
            <w:r>
              <w:rPr>
                <w:rFonts w:ascii="Arial" w:eastAsia="Arial" w:hAnsi="Arial" w:cs="Arial"/>
                <w:b/>
                <w:sz w:val="20"/>
              </w:rPr>
              <w:t>Utopie renesansowe</w:t>
            </w:r>
            <w:r>
              <w:rPr>
                <w:rFonts w:ascii="Arial" w:eastAsia="Arial" w:hAnsi="Arial" w:cs="Arial"/>
                <w:sz w:val="20"/>
              </w:rPr>
              <w:t xml:space="preserve">. Dyskusja wokół: T. Morus, </w:t>
            </w:r>
            <w:r>
              <w:rPr>
                <w:rFonts w:ascii="Arial" w:eastAsia="Arial" w:hAnsi="Arial" w:cs="Arial"/>
                <w:i/>
                <w:sz w:val="20"/>
              </w:rPr>
              <w:t>Utopia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i/>
                <w:sz w:val="20"/>
              </w:rPr>
              <w:t>Książeczka zaiste złota i niemniej pożyteczna jak przyjemna o najlepszym ustroju państwa i nieznanej dotąd wyspie Utopii</w:t>
            </w:r>
            <w:r>
              <w:rPr>
                <w:rFonts w:ascii="Arial" w:eastAsia="Arial" w:hAnsi="Arial" w:cs="Arial"/>
                <w:sz w:val="20"/>
              </w:rPr>
              <w:t xml:space="preserve"> oraz T. Campanella, </w:t>
            </w:r>
            <w:r>
              <w:rPr>
                <w:rFonts w:ascii="Arial" w:eastAsia="Arial" w:hAnsi="Arial" w:cs="Arial"/>
                <w:i/>
                <w:sz w:val="20"/>
              </w:rPr>
              <w:t>Miasto Słońca</w:t>
            </w:r>
            <w:r>
              <w:rPr>
                <w:rFonts w:ascii="Arial" w:eastAsia="Arial" w:hAnsi="Arial" w:cs="Arial"/>
                <w:sz w:val="20"/>
              </w:rPr>
              <w:t xml:space="preserve"> (dowolne wydanie).   Dyskusja wokół: T. Campanella, </w:t>
            </w:r>
            <w:r>
              <w:rPr>
                <w:rFonts w:ascii="Arial" w:eastAsia="Arial" w:hAnsi="Arial" w:cs="Arial"/>
                <w:i/>
                <w:sz w:val="20"/>
              </w:rPr>
              <w:t>List do Galileusza</w:t>
            </w:r>
            <w:r>
              <w:rPr>
                <w:rFonts w:ascii="Arial" w:eastAsia="Arial" w:hAnsi="Arial" w:cs="Arial"/>
                <w:sz w:val="20"/>
              </w:rPr>
              <w:t xml:space="preserve"> oraz  </w:t>
            </w:r>
            <w:r>
              <w:rPr>
                <w:rFonts w:ascii="Arial" w:eastAsia="Arial" w:hAnsi="Arial" w:cs="Arial"/>
                <w:i/>
                <w:sz w:val="20"/>
              </w:rPr>
              <w:t>O boskości i potędze człowieka</w:t>
            </w:r>
            <w:r>
              <w:rPr>
                <w:rFonts w:ascii="Arial" w:eastAsia="Arial" w:hAnsi="Arial" w:cs="Arial"/>
                <w:sz w:val="20"/>
              </w:rPr>
              <w:t xml:space="preserve"> w: A. Nowicki, </w:t>
            </w:r>
            <w:r>
              <w:rPr>
                <w:rFonts w:ascii="Arial" w:eastAsia="Arial" w:hAnsi="Arial" w:cs="Arial"/>
                <w:i/>
                <w:sz w:val="20"/>
              </w:rPr>
              <w:t>Filozofia włoskiego Odrodzenia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op. Cit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245FE8" w:rsidRDefault="00245FE8">
      <w:pPr>
        <w:spacing w:after="0"/>
        <w:ind w:left="-1417" w:right="899"/>
        <w:jc w:val="both"/>
      </w:pPr>
    </w:p>
    <w:tbl>
      <w:tblPr>
        <w:tblStyle w:val="TableGrid"/>
        <w:tblW w:w="7230" w:type="dxa"/>
        <w:tblInd w:w="1276" w:type="dxa"/>
        <w:tblCellMar>
          <w:top w:w="47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281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2" w:line="237" w:lineRule="auto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Wartość filozofii F. Bacona</w:t>
            </w:r>
            <w:r>
              <w:rPr>
                <w:rFonts w:ascii="Arial" w:eastAsia="Arial" w:hAnsi="Arial" w:cs="Arial"/>
                <w:sz w:val="20"/>
              </w:rPr>
              <w:t xml:space="preserve">. Analizawybranych fragm., F. Bacon, </w:t>
            </w:r>
            <w:r>
              <w:rPr>
                <w:rFonts w:ascii="Arial" w:eastAsia="Arial" w:hAnsi="Arial" w:cs="Arial"/>
                <w:i/>
                <w:sz w:val="20"/>
              </w:rPr>
              <w:t>Novum Organum</w:t>
            </w:r>
            <w:r>
              <w:rPr>
                <w:rFonts w:ascii="Arial" w:eastAsia="Arial" w:hAnsi="Arial" w:cs="Arial"/>
                <w:sz w:val="20"/>
              </w:rPr>
              <w:t xml:space="preserve"> (zwłaszcza: </w:t>
            </w:r>
            <w:r>
              <w:rPr>
                <w:rFonts w:ascii="Arial" w:eastAsia="Arial" w:hAnsi="Arial" w:cs="Arial"/>
                <w:i/>
                <w:sz w:val="20"/>
              </w:rPr>
              <w:t>Plan dzieła i Aforyzmy Księgi Pierwszej</w:t>
            </w:r>
            <w:r>
              <w:rPr>
                <w:rFonts w:ascii="Arial" w:eastAsia="Arial" w:hAnsi="Arial" w:cs="Arial"/>
                <w:sz w:val="20"/>
              </w:rPr>
              <w:t>).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</w:pPr>
            <w:r>
              <w:rPr>
                <w:rFonts w:ascii="Arial" w:eastAsia="Arial" w:hAnsi="Arial" w:cs="Arial"/>
                <w:sz w:val="20"/>
              </w:rPr>
              <w:t>Analiza i dyskusja wokół utopii Bacona: F. Bacon</w:t>
            </w:r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Nowa Atlantyda</w:t>
            </w:r>
            <w:r>
              <w:rPr>
                <w:rFonts w:ascii="Arial" w:eastAsia="Arial" w:hAnsi="Arial" w:cs="Arial"/>
                <w:sz w:val="20"/>
              </w:rPr>
              <w:t xml:space="preserve">(dowolne wydanie).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2 godz.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</w:pPr>
            <w:r>
              <w:rPr>
                <w:rFonts w:ascii="Arial" w:eastAsia="Arial" w:hAnsi="Arial" w:cs="Arial"/>
                <w:b/>
                <w:sz w:val="20"/>
              </w:rPr>
              <w:t>Przewrót Kartezjusza i jego znaczenie</w:t>
            </w:r>
            <w:r>
              <w:rPr>
                <w:rFonts w:ascii="Arial" w:eastAsia="Arial" w:hAnsi="Arial" w:cs="Arial"/>
                <w:sz w:val="20"/>
              </w:rPr>
              <w:t xml:space="preserve">. Krytycyzm Kartezjusza. Dyskusja wokół Kartezjańskiej krytyki wiedzy zmysłowej. Argument ze snu. Waga rozumu: dlaczego umysł jest bardziej znany niż ciało? Co to jest umysł? </w:t>
            </w:r>
          </w:p>
          <w:p w:rsidR="00245FE8" w:rsidRDefault="00356FA8">
            <w:pPr>
              <w:spacing w:after="1" w:line="238" w:lineRule="auto"/>
              <w:ind w:right="554"/>
            </w:pPr>
            <w:r>
              <w:rPr>
                <w:rFonts w:ascii="Arial" w:eastAsia="Arial" w:hAnsi="Arial" w:cs="Arial"/>
                <w:sz w:val="20"/>
              </w:rPr>
              <w:t xml:space="preserve">Analiza </w:t>
            </w:r>
            <w:r>
              <w:rPr>
                <w:rFonts w:ascii="Arial" w:eastAsia="Arial" w:hAnsi="Arial" w:cs="Arial"/>
                <w:i/>
                <w:sz w:val="20"/>
              </w:rPr>
              <w:t>Medytacji o pierwszej filozofii</w:t>
            </w:r>
            <w:r>
              <w:rPr>
                <w:rFonts w:ascii="Arial" w:eastAsia="Arial" w:hAnsi="Arial" w:cs="Arial"/>
                <w:sz w:val="20"/>
              </w:rPr>
              <w:t xml:space="preserve">. Rekonstrukcja metody Kartezjusza. Analiza </w:t>
            </w:r>
            <w:r>
              <w:rPr>
                <w:rFonts w:ascii="Arial" w:eastAsia="Arial" w:hAnsi="Arial" w:cs="Arial"/>
                <w:i/>
                <w:sz w:val="20"/>
              </w:rPr>
              <w:t>Rozprawy o metodzie</w:t>
            </w:r>
            <w:r>
              <w:rPr>
                <w:rFonts w:ascii="Arial" w:eastAsia="Arial" w:hAnsi="Arial" w:cs="Arial"/>
                <w:sz w:val="20"/>
              </w:rPr>
              <w:t>, cz. trzecia i czwarta.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2 godz.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right="47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Czy Kartezjusz był dualistą</w:t>
            </w:r>
            <w:r>
              <w:rPr>
                <w:rFonts w:ascii="Arial" w:eastAsia="Arial" w:hAnsi="Arial" w:cs="Arial"/>
                <w:sz w:val="20"/>
              </w:rPr>
              <w:t xml:space="preserve">? Dyskusja wokół: R. Descartes, </w:t>
            </w:r>
            <w:r>
              <w:rPr>
                <w:rFonts w:ascii="Arial" w:eastAsia="Arial" w:hAnsi="Arial" w:cs="Arial"/>
                <w:i/>
                <w:sz w:val="20"/>
              </w:rPr>
              <w:t>Namiętności duszy</w:t>
            </w:r>
            <w:r>
              <w:rPr>
                <w:rFonts w:ascii="Arial" w:eastAsia="Arial" w:hAnsi="Arial" w:cs="Arial"/>
                <w:sz w:val="20"/>
              </w:rPr>
              <w:t>(art. 1, 2, 5, 6, 7, 10</w:t>
            </w:r>
            <w:r>
              <w:rPr>
                <w:rFonts w:ascii="Arial" w:eastAsia="Arial" w:hAnsi="Arial" w:cs="Arial"/>
                <w:i/>
                <w:sz w:val="20"/>
              </w:rPr>
              <w:t>,Medytacji szóstej</w:t>
            </w:r>
            <w:r>
              <w:rPr>
                <w:rFonts w:ascii="Arial" w:eastAsia="Arial" w:hAnsi="Arial" w:cs="Arial"/>
                <w:sz w:val="20"/>
              </w:rPr>
              <w:t xml:space="preserve"> oraz </w:t>
            </w:r>
            <w:r>
              <w:rPr>
                <w:rFonts w:ascii="Arial" w:eastAsia="Arial" w:hAnsi="Arial" w:cs="Arial"/>
                <w:i/>
                <w:sz w:val="20"/>
              </w:rPr>
              <w:t>Człowiek. Opis ciała ludzkiego</w:t>
            </w:r>
            <w:r>
              <w:rPr>
                <w:rFonts w:ascii="Arial" w:eastAsia="Arial" w:hAnsi="Arial" w:cs="Arial"/>
                <w:sz w:val="20"/>
              </w:rPr>
              <w:t xml:space="preserve">, PWN, Warszawa 1989, w tym: </w:t>
            </w:r>
            <w:r>
              <w:rPr>
                <w:rFonts w:ascii="Arial" w:eastAsia="Arial" w:hAnsi="Arial" w:cs="Arial"/>
                <w:i/>
                <w:sz w:val="20"/>
              </w:rPr>
              <w:t>Opis ciała ludzkiego i wszystkich jegoczynności</w:t>
            </w:r>
            <w:r>
              <w:rPr>
                <w:rFonts w:ascii="Arial" w:eastAsia="Arial" w:hAnsi="Arial" w:cs="Arial"/>
                <w:sz w:val="20"/>
              </w:rPr>
              <w:t xml:space="preserve">,  cz. I-III.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right="64"/>
            </w:pPr>
            <w:r>
              <w:rPr>
                <w:rFonts w:ascii="Arial" w:eastAsia="Arial" w:hAnsi="Arial" w:cs="Arial"/>
                <w:b/>
                <w:sz w:val="20"/>
              </w:rPr>
              <w:t xml:space="preserve">Okazjonalizm – radykalizacja filozofii Kartezjusza. </w:t>
            </w:r>
            <w:r>
              <w:rPr>
                <w:rFonts w:ascii="Arial" w:eastAsia="Arial" w:hAnsi="Arial" w:cs="Arial"/>
                <w:sz w:val="20"/>
              </w:rPr>
              <w:t xml:space="preserve">Analiza wybranych fragm., Geulincx, </w:t>
            </w:r>
            <w:r>
              <w:rPr>
                <w:rFonts w:ascii="Arial" w:eastAsia="Arial" w:hAnsi="Arial" w:cs="Arial"/>
                <w:i/>
                <w:sz w:val="20"/>
              </w:rPr>
              <w:t>Metafizyka prawdziwa</w:t>
            </w:r>
            <w:r>
              <w:rPr>
                <w:rFonts w:ascii="Arial" w:eastAsia="Arial" w:hAnsi="Arial" w:cs="Arial"/>
                <w:sz w:val="20"/>
              </w:rPr>
              <w:t xml:space="preserve">, Wydawnictwo Marek Derewiecki, Kęty 2009, w szczególności: cz. I, twierdz. 8, 9, 11, 12,cz. II: twierdz. 1, 2,4,7,cz. III, twierdz., 2, 5. Oraz </w:t>
            </w:r>
            <w:r>
              <w:rPr>
                <w:rFonts w:ascii="Arial" w:eastAsia="Arial" w:hAnsi="Arial" w:cs="Arial"/>
                <w:i/>
                <w:sz w:val="20"/>
              </w:rPr>
              <w:t>Uwagi do metafizyki prawdziwej</w:t>
            </w:r>
            <w:r>
              <w:rPr>
                <w:rFonts w:ascii="Arial" w:eastAsia="Arial" w:hAnsi="Arial" w:cs="Arial"/>
                <w:sz w:val="20"/>
              </w:rPr>
              <w:t xml:space="preserve">: 6-17. </w:t>
            </w:r>
            <w:r>
              <w:rPr>
                <w:rFonts w:ascii="Arial" w:eastAsia="Arial" w:hAnsi="Arial" w:cs="Arial"/>
                <w:i/>
                <w:sz w:val="20"/>
              </w:rPr>
              <w:t>Uwagi do metafizyki pierwszej</w:t>
            </w:r>
            <w:r>
              <w:rPr>
                <w:rFonts w:ascii="Arial" w:eastAsia="Arial" w:hAnsi="Arial" w:cs="Arial"/>
                <w:sz w:val="20"/>
              </w:rPr>
              <w:t xml:space="preserve">, 66-77.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right="87"/>
            </w:pPr>
            <w:r>
              <w:rPr>
                <w:rFonts w:ascii="Arial" w:eastAsia="Arial" w:hAnsi="Arial" w:cs="Arial"/>
                <w:b/>
                <w:sz w:val="20"/>
              </w:rPr>
              <w:t>B. Pascal jako krytyk Kartezjusza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Fideizm przeciwko racjonalizmowi</w:t>
            </w:r>
            <w:r>
              <w:rPr>
                <w:rFonts w:ascii="Arial" w:eastAsia="Arial" w:hAnsi="Arial" w:cs="Arial"/>
                <w:sz w:val="20"/>
              </w:rPr>
              <w:t xml:space="preserve">. Bóg filozofów a Bóg teologów. Dyskusja wokół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Myśli </w:t>
            </w:r>
            <w:r>
              <w:rPr>
                <w:rFonts w:ascii="Arial" w:eastAsia="Arial" w:hAnsi="Arial" w:cs="Arial"/>
                <w:sz w:val="20"/>
              </w:rPr>
              <w:t xml:space="preserve">Pascala(dowolne wydanie).Oraz analiza i dyskusja wokół: </w:t>
            </w:r>
            <w:r>
              <w:rPr>
                <w:rFonts w:ascii="Arial" w:eastAsia="Arial" w:hAnsi="Arial" w:cs="Arial"/>
                <w:i/>
                <w:sz w:val="20"/>
              </w:rPr>
              <w:t>Boski zakład</w:t>
            </w:r>
            <w:r>
              <w:rPr>
                <w:rFonts w:ascii="Arial" w:eastAsia="Arial" w:hAnsi="Arial" w:cs="Arial"/>
                <w:sz w:val="20"/>
              </w:rPr>
              <w:t xml:space="preserve">, w: Ch. Seife, </w:t>
            </w:r>
            <w:r>
              <w:rPr>
                <w:rFonts w:ascii="Arial" w:eastAsia="Arial" w:hAnsi="Arial" w:cs="Arial"/>
                <w:i/>
                <w:sz w:val="20"/>
              </w:rPr>
              <w:t>Zero niebezpieczna idea. Koncepcja zera w historii nauki. Rozdz. Zakład Pascala.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66" w:line="239" w:lineRule="auto"/>
            </w:pPr>
            <w:r>
              <w:rPr>
                <w:rFonts w:ascii="Arial" w:eastAsia="Arial" w:hAnsi="Arial" w:cs="Arial"/>
                <w:b/>
                <w:sz w:val="20"/>
              </w:rPr>
              <w:t xml:space="preserve">Spinozjańska metoda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moregeometrico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i jej konsekwencje</w:t>
            </w:r>
            <w:r>
              <w:rPr>
                <w:rFonts w:ascii="Arial" w:eastAsia="Arial" w:hAnsi="Arial" w:cs="Arial"/>
                <w:sz w:val="20"/>
              </w:rPr>
              <w:t xml:space="preserve">: Świat bez transcendencji: immanentyzacja Boga. Bóg Spinoza a Bóg Pascala. Czy Spinoza przełamuje dualizm Kartezjusza?  Analiza wybranych fragm.: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43" w:lineRule="auto"/>
              <w:ind w:left="720" w:right="65" w:hanging="360"/>
              <w:jc w:val="both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B. Spinoza, </w:t>
            </w:r>
            <w:r>
              <w:rPr>
                <w:rFonts w:ascii="Arial" w:eastAsia="Arial" w:hAnsi="Arial" w:cs="Arial"/>
                <w:i/>
              </w:rPr>
              <w:t>Etyka w porządku geometrycznym dowiedziona</w:t>
            </w:r>
            <w:r>
              <w:rPr>
                <w:rFonts w:ascii="Arial" w:eastAsia="Arial" w:hAnsi="Arial" w:cs="Arial"/>
              </w:rPr>
              <w:t>, przekł. J. Myślicki, PWN, Warszawa 2008: (</w:t>
            </w:r>
            <w:r>
              <w:rPr>
                <w:rFonts w:ascii="Arial" w:eastAsia="Arial" w:hAnsi="Arial" w:cs="Arial"/>
                <w:i/>
              </w:rPr>
              <w:t>O Bogu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  <w:i/>
              </w:rPr>
              <w:t>O naturze i pochodzeniu duszy</w:t>
            </w:r>
            <w:r>
              <w:rPr>
                <w:rFonts w:ascii="Arial" w:eastAsia="Arial" w:hAnsi="Arial" w:cs="Arial"/>
              </w:rPr>
              <w:t xml:space="preserve"> (fragm.,), </w:t>
            </w:r>
            <w:r>
              <w:rPr>
                <w:rFonts w:ascii="Arial" w:eastAsia="Arial" w:hAnsi="Arial" w:cs="Arial"/>
                <w:i/>
              </w:rPr>
              <w:t>O naturze i pochodzeniu afektów</w:t>
            </w:r>
            <w:r>
              <w:rPr>
                <w:rFonts w:ascii="Arial" w:eastAsia="Arial" w:hAnsi="Arial" w:cs="Arial"/>
              </w:rPr>
              <w:t xml:space="preserve">, </w:t>
            </w:r>
          </w:p>
          <w:p w:rsidR="00245FE8" w:rsidRDefault="00356FA8">
            <w:pPr>
              <w:ind w:right="1653"/>
              <w:jc w:val="right"/>
            </w:pPr>
            <w:r>
              <w:rPr>
                <w:rFonts w:ascii="Arial" w:eastAsia="Arial" w:hAnsi="Arial" w:cs="Arial"/>
                <w:i/>
              </w:rPr>
              <w:t>O niewoli ludzkiej czyli o siłach afektów</w:t>
            </w:r>
            <w:r>
              <w:rPr>
                <w:rFonts w:ascii="Arial" w:eastAsia="Arial" w:hAnsi="Arial" w:cs="Arial"/>
              </w:rPr>
              <w:t xml:space="preserve"> (fragm.).                          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67" w:line="239" w:lineRule="auto"/>
              <w:ind w:right="275"/>
            </w:pPr>
            <w:r>
              <w:rPr>
                <w:rFonts w:ascii="Arial" w:eastAsia="Arial" w:hAnsi="Arial" w:cs="Arial"/>
                <w:b/>
                <w:sz w:val="20"/>
              </w:rPr>
              <w:t>Leibniza teoria poznania. wobec Czy Leibniz był natywistą</w:t>
            </w:r>
            <w:r>
              <w:rPr>
                <w:rFonts w:ascii="Arial" w:eastAsia="Arial" w:hAnsi="Arial" w:cs="Arial"/>
                <w:sz w:val="20"/>
              </w:rPr>
              <w:t xml:space="preserve">? Analiza wybranych fragm., W. G., Leibniz, </w:t>
            </w:r>
            <w:r>
              <w:rPr>
                <w:rFonts w:ascii="Arial" w:eastAsia="Arial" w:hAnsi="Arial" w:cs="Arial"/>
                <w:i/>
                <w:sz w:val="20"/>
              </w:rPr>
              <w:t>Nowe zasady dotyczące umysłu ludzkiego</w:t>
            </w:r>
            <w:r>
              <w:rPr>
                <w:rFonts w:ascii="Arial" w:eastAsia="Arial" w:hAnsi="Arial" w:cs="Arial"/>
                <w:sz w:val="20"/>
              </w:rPr>
              <w:t xml:space="preserve"> (w szczególności rozdz. </w:t>
            </w:r>
            <w:r>
              <w:rPr>
                <w:rFonts w:ascii="Arial" w:eastAsia="Arial" w:hAnsi="Arial" w:cs="Arial"/>
                <w:i/>
                <w:sz w:val="20"/>
              </w:rPr>
              <w:t>Czy istnieją idee wrodzone</w:t>
            </w:r>
            <w:r>
              <w:rPr>
                <w:rFonts w:ascii="Arial" w:eastAsia="Arial" w:hAnsi="Arial" w:cs="Arial"/>
                <w:sz w:val="20"/>
              </w:rPr>
              <w:t xml:space="preserve">?).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Dyskusja wokół: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5" w:lineRule="auto"/>
              <w:ind w:left="720" w:right="65" w:hanging="360"/>
              <w:jc w:val="both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P. Gut, </w:t>
            </w:r>
            <w:r>
              <w:rPr>
                <w:rFonts w:ascii="Arial" w:eastAsia="Arial" w:hAnsi="Arial" w:cs="Arial"/>
                <w:i/>
              </w:rPr>
              <w:t>Leibniz</w:t>
            </w:r>
            <w:r>
              <w:rPr>
                <w:rFonts w:ascii="Arial" w:eastAsia="Arial" w:hAnsi="Arial" w:cs="Arial"/>
              </w:rPr>
              <w:t xml:space="preserve"> o </w:t>
            </w:r>
            <w:r>
              <w:rPr>
                <w:rFonts w:ascii="Arial" w:eastAsia="Arial" w:hAnsi="Arial" w:cs="Arial"/>
                <w:i/>
              </w:rPr>
              <w:t>substancji</w:t>
            </w:r>
            <w:r>
              <w:rPr>
                <w:rFonts w:ascii="Arial" w:eastAsia="Arial" w:hAnsi="Arial" w:cs="Arial"/>
              </w:rPr>
              <w:t xml:space="preserve">, w: P. Gut, </w:t>
            </w:r>
            <w:r>
              <w:rPr>
                <w:rFonts w:ascii="Arial" w:eastAsia="Arial" w:hAnsi="Arial" w:cs="Arial"/>
                <w:i/>
              </w:rPr>
              <w:t>Leibniz. Myśl filozoficzna w XVII wieku</w:t>
            </w:r>
            <w:r>
              <w:rPr>
                <w:rFonts w:ascii="Arial" w:eastAsia="Arial" w:hAnsi="Arial" w:cs="Arial"/>
              </w:rPr>
              <w:t xml:space="preserve">, Wydawnictwo Uniwersytetu Wrocławskiego, Wrocław2004, s. 59-106.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spacing w:after="48" w:line="224" w:lineRule="auto"/>
            </w:pPr>
            <w:r>
              <w:rPr>
                <w:rFonts w:ascii="Arial" w:eastAsia="Arial" w:hAnsi="Arial" w:cs="Arial"/>
                <w:b/>
              </w:rPr>
              <w:t>Leibniz: sprawa zła moralnego</w:t>
            </w:r>
            <w:r>
              <w:rPr>
                <w:rFonts w:ascii="Arial" w:eastAsia="Arial" w:hAnsi="Arial" w:cs="Arial"/>
              </w:rPr>
              <w:t xml:space="preserve">. Co oznacza, że świat jest </w:t>
            </w:r>
            <w:r>
              <w:rPr>
                <w:rFonts w:ascii="Arial" w:eastAsia="Arial" w:hAnsi="Arial" w:cs="Arial"/>
                <w:i/>
              </w:rPr>
              <w:t>najlepszym z możliwych światów</w:t>
            </w:r>
            <w:r>
              <w:rPr>
                <w:rFonts w:ascii="Arial" w:eastAsia="Arial" w:hAnsi="Arial" w:cs="Arial"/>
              </w:rPr>
              <w:t xml:space="preserve">? Sprawa celowości świata.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720" w:hanging="360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Analiza wybranych fragm.,: G. W. Leibniz, </w:t>
            </w:r>
            <w:r>
              <w:rPr>
                <w:rFonts w:ascii="Arial" w:eastAsia="Arial" w:hAnsi="Arial" w:cs="Arial"/>
                <w:i/>
              </w:rPr>
              <w:t>Teodycea. O dobroci Boga, wolności człowieka i pochodzeniu zła</w:t>
            </w:r>
            <w:r>
              <w:rPr>
                <w:rFonts w:ascii="Arial" w:eastAsia="Arial" w:hAnsi="Arial" w:cs="Arial"/>
                <w:b/>
                <w:i/>
              </w:rPr>
              <w:t xml:space="preserve">.  </w:t>
            </w:r>
            <w:r>
              <w:rPr>
                <w:rFonts w:ascii="Arial" w:eastAsia="Arial" w:hAnsi="Arial" w:cs="Arial"/>
                <w:i/>
              </w:rPr>
              <w:t xml:space="preserve">Przedmowa </w:t>
            </w:r>
          </w:p>
        </w:tc>
      </w:tr>
    </w:tbl>
    <w:p w:rsidR="00245FE8" w:rsidRDefault="00245FE8">
      <w:pPr>
        <w:spacing w:after="0"/>
        <w:ind w:left="-1417" w:right="899"/>
        <w:jc w:val="both"/>
      </w:pPr>
    </w:p>
    <w:tbl>
      <w:tblPr>
        <w:tblStyle w:val="TableGrid"/>
        <w:tblW w:w="7230" w:type="dxa"/>
        <w:tblInd w:w="1276" w:type="dxa"/>
        <w:tblCellMar>
          <w:top w:w="51" w:type="dxa"/>
        </w:tblCellMar>
        <w:tblLook w:val="04A0" w:firstRow="1" w:lastRow="0" w:firstColumn="1" w:lastColumn="0" w:noHBand="0" w:noVBand="1"/>
      </w:tblPr>
      <w:tblGrid>
        <w:gridCol w:w="1474"/>
        <w:gridCol w:w="5756"/>
      </w:tblGrid>
      <w:tr w:rsidR="00245FE8">
        <w:trPr>
          <w:trHeight w:val="12713"/>
        </w:trPr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48" w:line="224" w:lineRule="auto"/>
              <w:ind w:left="750" w:right="17"/>
            </w:pPr>
            <w:r>
              <w:rPr>
                <w:rFonts w:ascii="Arial" w:eastAsia="Arial" w:hAnsi="Arial" w:cs="Arial"/>
              </w:rPr>
              <w:lastRenderedPageBreak/>
              <w:t>Leibniza, oraz</w:t>
            </w:r>
            <w:r>
              <w:rPr>
                <w:rFonts w:ascii="Arial" w:eastAsia="Arial" w:hAnsi="Arial" w:cs="Arial"/>
                <w:i/>
              </w:rPr>
              <w:t xml:space="preserve"> Streszczenie sporu ujęte na sposób scholastyczny.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spacing w:line="229" w:lineRule="auto"/>
              <w:ind w:left="750" w:hanging="360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Dyskusja wokół: K. Kopania, </w:t>
            </w:r>
            <w:r>
              <w:rPr>
                <w:rFonts w:ascii="Arial" w:eastAsia="Arial" w:hAnsi="Arial" w:cs="Arial"/>
                <w:i/>
              </w:rPr>
              <w:t>Siła dedukcji i słabość człowieka</w:t>
            </w:r>
            <w:r>
              <w:rPr>
                <w:rFonts w:ascii="Arial" w:eastAsia="Arial" w:hAnsi="Arial" w:cs="Arial"/>
              </w:rPr>
              <w:t xml:space="preserve">, s. VII-XXVIII.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69" w:line="237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Podstawowe założenia materializmu mechanistycznego Hobbesa. Człowiek i jego stan natury</w:t>
            </w:r>
            <w:r>
              <w:rPr>
                <w:rFonts w:ascii="Arial" w:eastAsia="Arial" w:hAnsi="Arial" w:cs="Arial"/>
                <w:sz w:val="20"/>
              </w:rPr>
              <w:t xml:space="preserve">: Analiza wybranych fragm.,: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5"/>
              </w:numPr>
              <w:spacing w:line="244" w:lineRule="auto"/>
              <w:ind w:right="109" w:hanging="348"/>
              <w:jc w:val="both"/>
            </w:pPr>
            <w:r>
              <w:rPr>
                <w:rFonts w:ascii="Arial" w:eastAsia="Arial" w:hAnsi="Arial" w:cs="Arial"/>
              </w:rPr>
              <w:t xml:space="preserve">T. Hobbes, </w:t>
            </w:r>
            <w:r>
              <w:rPr>
                <w:rFonts w:ascii="Arial" w:eastAsia="Arial" w:hAnsi="Arial" w:cs="Arial"/>
                <w:i/>
              </w:rPr>
              <w:t>Elementy filozofii</w:t>
            </w:r>
            <w:r>
              <w:rPr>
                <w:rFonts w:ascii="Arial" w:eastAsia="Arial" w:hAnsi="Arial" w:cs="Arial"/>
              </w:rPr>
              <w:t xml:space="preserve">, przekł. Cz. Znamierowski, PWN, Warszawa 1956, (Cz. I, rozdz. I, </w:t>
            </w:r>
            <w:r>
              <w:rPr>
                <w:rFonts w:ascii="Arial" w:eastAsia="Arial" w:hAnsi="Arial" w:cs="Arial"/>
                <w:i/>
              </w:rPr>
              <w:t>O filozofii</w:t>
            </w:r>
            <w:r>
              <w:rPr>
                <w:rFonts w:ascii="Arial" w:eastAsia="Arial" w:hAnsi="Arial" w:cs="Arial"/>
              </w:rPr>
              <w:t xml:space="preserve">, rozdz. II, </w:t>
            </w:r>
            <w:r>
              <w:rPr>
                <w:rFonts w:ascii="Arial" w:eastAsia="Arial" w:hAnsi="Arial" w:cs="Arial"/>
                <w:i/>
              </w:rPr>
              <w:t>O wyrazach</w:t>
            </w:r>
            <w:r>
              <w:rPr>
                <w:rFonts w:ascii="Arial" w:eastAsia="Arial" w:hAnsi="Arial" w:cs="Arial"/>
              </w:rPr>
              <w:t>. Cz. II, rozdz.</w:t>
            </w:r>
            <w:r>
              <w:rPr>
                <w:rFonts w:ascii="Arial" w:eastAsia="Arial" w:hAnsi="Arial" w:cs="Arial"/>
                <w:i/>
              </w:rPr>
              <w:t>O przyczynie i skutku, O człowieku</w:t>
            </w:r>
            <w:r>
              <w:rPr>
                <w:rFonts w:ascii="Arial" w:eastAsia="Arial" w:hAnsi="Arial" w:cs="Arial"/>
              </w:rPr>
              <w:t xml:space="preserve">).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68"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Związki mechanicyzmu materialistycznego Hobbesa z jego filozofią polityczną</w:t>
            </w:r>
            <w:r>
              <w:rPr>
                <w:rFonts w:ascii="Arial" w:eastAsia="Arial" w:hAnsi="Arial" w:cs="Arial"/>
                <w:sz w:val="20"/>
              </w:rPr>
              <w:t xml:space="preserve">. Dyskusja wokół wybranych fragm.,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5"/>
              </w:numPr>
              <w:spacing w:line="242" w:lineRule="auto"/>
              <w:ind w:right="109" w:hanging="348"/>
              <w:jc w:val="both"/>
            </w:pPr>
            <w:r>
              <w:rPr>
                <w:rFonts w:ascii="Arial" w:eastAsia="Arial" w:hAnsi="Arial" w:cs="Arial"/>
              </w:rPr>
              <w:t xml:space="preserve">T. Hobbes, </w:t>
            </w:r>
            <w:r>
              <w:rPr>
                <w:rFonts w:ascii="Arial" w:eastAsia="Arial" w:hAnsi="Arial" w:cs="Arial"/>
                <w:i/>
              </w:rPr>
              <w:t>Lewiatan czyli materia, forma i władza państwa kościelnego i świeckiego</w:t>
            </w:r>
            <w:r>
              <w:rPr>
                <w:rFonts w:ascii="Arial" w:eastAsia="Arial" w:hAnsi="Arial" w:cs="Arial"/>
              </w:rPr>
              <w:t xml:space="preserve">, przekł. Cz. Znamierowski, PWN, Warszawa 1956: rozdz. XIV, </w:t>
            </w:r>
            <w:r>
              <w:rPr>
                <w:rFonts w:ascii="Arial" w:eastAsia="Arial" w:hAnsi="Arial" w:cs="Arial"/>
                <w:i/>
              </w:rPr>
              <w:t>O pierwszym i drugim prawie naturalnym</w:t>
            </w:r>
            <w:r>
              <w:rPr>
                <w:rFonts w:ascii="Arial" w:eastAsia="Arial" w:hAnsi="Arial" w:cs="Arial"/>
              </w:rPr>
              <w:t xml:space="preserve">, rozdz. XXVI, </w:t>
            </w:r>
            <w:r>
              <w:rPr>
                <w:rFonts w:ascii="Arial" w:eastAsia="Arial" w:hAnsi="Arial" w:cs="Arial"/>
                <w:i/>
              </w:rPr>
              <w:t>O prawach państwowych</w:t>
            </w:r>
            <w:r>
              <w:rPr>
                <w:rFonts w:ascii="Arial" w:eastAsia="Arial" w:hAnsi="Arial" w:cs="Arial"/>
              </w:rPr>
              <w:t xml:space="preserve">, rozdz. XXX, </w:t>
            </w:r>
            <w:r>
              <w:rPr>
                <w:rFonts w:ascii="Arial" w:eastAsia="Arial" w:hAnsi="Arial" w:cs="Arial"/>
                <w:i/>
              </w:rPr>
              <w:t>O obowiązkach suwerennego reprezentanta</w:t>
            </w:r>
            <w:r>
              <w:rPr>
                <w:rFonts w:ascii="Arial" w:eastAsia="Arial" w:hAnsi="Arial" w:cs="Arial"/>
              </w:rPr>
              <w:t xml:space="preserve">.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Locke jako krytyk Kartezjusza. Empiryzm Locke’a: źródła i granice poznania ludzkiego</w:t>
            </w:r>
            <w:r>
              <w:rPr>
                <w:rFonts w:ascii="Arial" w:eastAsia="Arial" w:hAnsi="Arial" w:cs="Arial"/>
                <w:sz w:val="20"/>
              </w:rPr>
              <w:t xml:space="preserve">. Natura i grance doświadczenia. Analiza wybranych fragm.,: J. Locke, </w:t>
            </w:r>
            <w:r>
              <w:rPr>
                <w:rFonts w:ascii="Arial" w:eastAsia="Arial" w:hAnsi="Arial" w:cs="Arial"/>
                <w:i/>
                <w:sz w:val="20"/>
              </w:rPr>
              <w:t>Rozważania dotyczące rozumu ludzkiego,</w:t>
            </w:r>
            <w:r>
              <w:rPr>
                <w:rFonts w:ascii="Arial" w:eastAsia="Arial" w:hAnsi="Arial" w:cs="Arial"/>
                <w:sz w:val="20"/>
              </w:rPr>
              <w:t xml:space="preserve"> przekł., B. J. </w:t>
            </w:r>
          </w:p>
          <w:p w:rsidR="00245FE8" w:rsidRDefault="00356FA8">
            <w:pPr>
              <w:spacing w:after="12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Gawęcki, t. 1-2, Warszawa 1955: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6"/>
              </w:numPr>
              <w:spacing w:after="14" w:line="241" w:lineRule="auto"/>
              <w:ind w:right="38" w:hanging="360"/>
            </w:pPr>
            <w:r>
              <w:rPr>
                <w:rFonts w:ascii="Arial" w:eastAsia="Arial" w:hAnsi="Arial" w:cs="Arial"/>
                <w:sz w:val="20"/>
              </w:rPr>
              <w:t xml:space="preserve">Ks. I, rozdz. II: </w:t>
            </w:r>
            <w:r>
              <w:rPr>
                <w:rFonts w:ascii="Arial" w:eastAsia="Arial" w:hAnsi="Arial" w:cs="Arial"/>
                <w:i/>
                <w:sz w:val="20"/>
              </w:rPr>
              <w:t>Nie ma w umyśle zasad wrodzonych</w:t>
            </w:r>
            <w:r>
              <w:rPr>
                <w:rFonts w:ascii="Arial" w:eastAsia="Arial" w:hAnsi="Arial" w:cs="Arial"/>
                <w:sz w:val="20"/>
              </w:rPr>
              <w:t xml:space="preserve">, t. I, Ks. II, rozdz. I </w:t>
            </w:r>
            <w:r>
              <w:rPr>
                <w:rFonts w:ascii="Arial" w:eastAsia="Arial" w:hAnsi="Arial" w:cs="Arial"/>
                <w:i/>
                <w:sz w:val="20"/>
              </w:rPr>
              <w:t>O ideach w ogólności i ich pochodzeniu</w:t>
            </w:r>
            <w:r>
              <w:rPr>
                <w:rFonts w:ascii="Arial" w:eastAsia="Arial" w:hAnsi="Arial" w:cs="Arial"/>
                <w:sz w:val="20"/>
              </w:rPr>
              <w:t xml:space="preserve">, t. II, Ks. IV, rozdz. IX, </w:t>
            </w:r>
            <w:r>
              <w:rPr>
                <w:rFonts w:ascii="Arial" w:eastAsia="Arial" w:hAnsi="Arial" w:cs="Arial"/>
                <w:i/>
                <w:sz w:val="20"/>
              </w:rPr>
              <w:t>Nasza wiedza o istnieniu</w:t>
            </w:r>
            <w:r>
              <w:rPr>
                <w:rFonts w:ascii="Arial" w:eastAsia="Arial" w:hAnsi="Arial" w:cs="Arial"/>
                <w:sz w:val="20"/>
              </w:rPr>
              <w:t xml:space="preserve">, rozdz.  X, </w:t>
            </w:r>
            <w:r>
              <w:rPr>
                <w:rFonts w:ascii="Arial" w:eastAsia="Arial" w:hAnsi="Arial" w:cs="Arial"/>
                <w:i/>
                <w:sz w:val="20"/>
              </w:rPr>
              <w:t>O naszej wiedzy o istnieniu Boga</w:t>
            </w:r>
            <w:r>
              <w:rPr>
                <w:rFonts w:ascii="Arial" w:eastAsia="Arial" w:hAnsi="Arial" w:cs="Arial"/>
                <w:sz w:val="20"/>
              </w:rPr>
              <w:t xml:space="preserve">, rozdz. XI, </w:t>
            </w:r>
            <w:r>
              <w:rPr>
                <w:rFonts w:ascii="Arial" w:eastAsia="Arial" w:hAnsi="Arial" w:cs="Arial"/>
                <w:i/>
                <w:sz w:val="20"/>
              </w:rPr>
              <w:t>O naszej wiedzy dotyczącej istnienia innych rzeczy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Główne założenia filozofii politycznej Locke’a</w:t>
            </w:r>
            <w:r>
              <w:rPr>
                <w:rFonts w:ascii="Arial" w:eastAsia="Arial" w:hAnsi="Arial" w:cs="Arial"/>
                <w:sz w:val="20"/>
              </w:rPr>
              <w:t xml:space="preserve">.Wartość, natura i granice tolerancji. Analiza: J. Locke, </w:t>
            </w:r>
            <w:r>
              <w:rPr>
                <w:rFonts w:ascii="Arial" w:eastAsia="Arial" w:hAnsi="Arial" w:cs="Arial"/>
                <w:i/>
                <w:sz w:val="20"/>
              </w:rPr>
              <w:t>List o tolerancji</w:t>
            </w:r>
            <w:r>
              <w:rPr>
                <w:rFonts w:ascii="Arial" w:eastAsia="Arial" w:hAnsi="Arial" w:cs="Arial"/>
                <w:sz w:val="20"/>
              </w:rPr>
              <w:t xml:space="preserve">. Polemika z Filmerem. Relacje między ludem a władzą.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9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6"/>
              </w:numPr>
              <w:spacing w:line="229" w:lineRule="auto"/>
              <w:ind w:right="38" w:hanging="360"/>
            </w:pPr>
            <w:r>
              <w:rPr>
                <w:rFonts w:ascii="Arial" w:eastAsia="Arial" w:hAnsi="Arial" w:cs="Arial"/>
              </w:rPr>
              <w:t xml:space="preserve">Analiza wybranych fragm., J. Locke, </w:t>
            </w:r>
            <w:r>
              <w:rPr>
                <w:rFonts w:ascii="Arial" w:eastAsia="Arial" w:hAnsi="Arial" w:cs="Arial"/>
                <w:i/>
              </w:rPr>
              <w:t>Dwa traktaty o rządzie</w:t>
            </w:r>
            <w:r>
              <w:rPr>
                <w:rFonts w:ascii="Arial" w:eastAsia="Arial" w:hAnsi="Arial" w:cs="Arial"/>
              </w:rPr>
              <w:t>, BKF, Warszawa 1992.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2" w:line="237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Radykalizacja empiryzmu i jej konsekwencje. Polemika Berkeleya z Lockiem</w:t>
            </w:r>
            <w:r>
              <w:rPr>
                <w:rFonts w:ascii="Arial" w:eastAsia="Arial" w:hAnsi="Arial" w:cs="Arial"/>
                <w:sz w:val="20"/>
              </w:rPr>
              <w:t>: analiza wybranych fragm.: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8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G. Berkeley, </w:t>
            </w:r>
            <w:r>
              <w:rPr>
                <w:rFonts w:ascii="Arial" w:eastAsia="Arial" w:hAnsi="Arial" w:cs="Arial"/>
                <w:i/>
                <w:sz w:val="20"/>
              </w:rPr>
              <w:t>Traktat o zasadach ludzkiego poznania.Trzy dialogi między Hylasem a Filonousem</w:t>
            </w:r>
            <w:r>
              <w:rPr>
                <w:rFonts w:ascii="Arial" w:eastAsia="Arial" w:hAnsi="Arial" w:cs="Arial"/>
                <w:sz w:val="20"/>
              </w:rPr>
              <w:t xml:space="preserve">.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5872" name="Group 258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82" name="Shape 31782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5872" style="width:353.64pt;height:1.5pt;mso-position-horizontal-relative:char;mso-position-vertical-relative:line" coordsize="44912,190">
                      <v:shape id="Shape 31783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after="68"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Obrachunki Hume’a z stanowiskami nowożytności w sprawie substancji i mentalistycznej koncepcjo poznania</w:t>
            </w:r>
            <w:r>
              <w:rPr>
                <w:rFonts w:ascii="Arial" w:eastAsia="Arial" w:hAnsi="Arial" w:cs="Arial"/>
                <w:sz w:val="20"/>
              </w:rPr>
              <w:t xml:space="preserve">. Analiza wybranych fragm.,: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396" w:right="109" w:hanging="360"/>
              <w:jc w:val="both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D. Hume, </w:t>
            </w:r>
            <w:r>
              <w:rPr>
                <w:rFonts w:ascii="Arial" w:eastAsia="Arial" w:hAnsi="Arial" w:cs="Arial"/>
                <w:i/>
              </w:rPr>
              <w:t>Badania dotyczące rozumu ludzkiego</w:t>
            </w:r>
            <w:r>
              <w:rPr>
                <w:rFonts w:ascii="Arial" w:eastAsia="Arial" w:hAnsi="Arial" w:cs="Arial"/>
              </w:rPr>
              <w:t>, przekł. J. Łukasiewicz, BKF, Warszawa  1977 (</w:t>
            </w:r>
            <w:r>
              <w:rPr>
                <w:rFonts w:ascii="Arial" w:eastAsia="Arial" w:hAnsi="Arial" w:cs="Arial"/>
                <w:i/>
              </w:rPr>
              <w:t xml:space="preserve">Wątpliwości </w:t>
            </w:r>
            <w:r>
              <w:rPr>
                <w:rFonts w:ascii="Arial" w:eastAsia="Arial" w:hAnsi="Arial" w:cs="Arial"/>
                <w:i/>
              </w:rPr>
              <w:lastRenderedPageBreak/>
              <w:t>sceptyczne dotyczące czynności rozumu</w:t>
            </w:r>
            <w:r>
              <w:rPr>
                <w:rFonts w:ascii="Arial" w:eastAsia="Arial" w:hAnsi="Arial" w:cs="Arial"/>
              </w:rPr>
              <w:t xml:space="preserve">,  ss. 9-12, 1723, 33-39, 41-48, 51-59), oraz: </w:t>
            </w:r>
            <w:r>
              <w:rPr>
                <w:sz w:val="24"/>
              </w:rPr>
              <w:t xml:space="preserve"> </w:t>
            </w:r>
          </w:p>
        </w:tc>
      </w:tr>
      <w:tr w:rsidR="00245FE8">
        <w:trPr>
          <w:trHeight w:val="1057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5FE8" w:rsidRDefault="00356FA8">
            <w:pPr>
              <w:spacing w:after="420"/>
              <w:ind w:right="202"/>
              <w:jc w:val="right"/>
            </w:pPr>
            <w:r>
              <w:rPr>
                <w:rFonts w:ascii="Segoe UI Symbol" w:eastAsia="Segoe UI Symbol" w:hAnsi="Segoe UI Symbol" w:cs="Segoe UI Symbol"/>
                <w:sz w:val="24"/>
              </w:rPr>
              <w:lastRenderedPageBreak/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245FE8" w:rsidRDefault="00356FA8">
            <w:pPr>
              <w:ind w:left="108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t xml:space="preserve"> </w:t>
            </w:r>
          </w:p>
        </w:tc>
        <w:tc>
          <w:tcPr>
            <w:tcW w:w="5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right="60"/>
              <w:jc w:val="both"/>
            </w:pPr>
            <w:r>
              <w:rPr>
                <w:rFonts w:ascii="Arial" w:eastAsia="Arial" w:hAnsi="Arial" w:cs="Arial"/>
              </w:rPr>
              <w:t xml:space="preserve">D. Hume, </w:t>
            </w:r>
            <w:r>
              <w:rPr>
                <w:rFonts w:ascii="Arial" w:eastAsia="Arial" w:hAnsi="Arial" w:cs="Arial"/>
                <w:i/>
              </w:rPr>
              <w:t>Filozofia naturalna</w:t>
            </w:r>
            <w:r>
              <w:rPr>
                <w:rFonts w:ascii="Arial" w:eastAsia="Arial" w:hAnsi="Arial" w:cs="Arial"/>
              </w:rPr>
              <w:t xml:space="preserve">, przekł., A. Hochfeldowa, BKF, Warszawa 1962, rozdz. IX-XV i </w:t>
            </w:r>
            <w:r>
              <w:rPr>
                <w:rFonts w:ascii="Arial" w:eastAsia="Arial" w:hAnsi="Arial" w:cs="Arial"/>
                <w:i/>
              </w:rPr>
              <w:t>Esej o samobójstwie</w:t>
            </w:r>
            <w:r>
              <w:rPr>
                <w:rFonts w:ascii="Arial" w:eastAsia="Arial" w:hAnsi="Arial" w:cs="Arial"/>
              </w:rPr>
              <w:t xml:space="preserve">.        </w:t>
            </w:r>
            <w:r>
              <w:rPr>
                <w:sz w:val="24"/>
              </w:rPr>
              <w:t xml:space="preserve"> </w:t>
            </w:r>
          </w:p>
        </w:tc>
      </w:tr>
    </w:tbl>
    <w:p w:rsidR="00245FE8" w:rsidRDefault="00356FA8">
      <w:pPr>
        <w:spacing w:after="96"/>
        <w:ind w:left="108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96"/>
        <w:ind w:left="108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108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7230" w:type="dxa"/>
        <w:tblInd w:w="1276" w:type="dxa"/>
        <w:tblCellMar>
          <w:top w:w="51" w:type="dxa"/>
          <w:left w:w="7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29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right="82"/>
              <w:jc w:val="center"/>
            </w:pPr>
            <w:r>
              <w:t xml:space="preserve">Semestr letni </w:t>
            </w:r>
          </w:p>
        </w:tc>
      </w:tr>
      <w:tr w:rsidR="00245FE8">
        <w:trPr>
          <w:trHeight w:val="1026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1" w:line="238" w:lineRule="auto"/>
              <w:ind w:left="30" w:right="1845"/>
            </w:pPr>
            <w:r>
              <w:rPr>
                <w:rFonts w:ascii="Arial" w:eastAsia="Arial" w:hAnsi="Arial" w:cs="Arial"/>
                <w:b/>
                <w:sz w:val="20"/>
              </w:rPr>
              <w:t>Istota i wartość przewrotu kopernikańskiego I. Kanta</w:t>
            </w:r>
            <w:r>
              <w:rPr>
                <w:rFonts w:ascii="Arial" w:eastAsia="Arial" w:hAnsi="Arial" w:cs="Arial"/>
                <w:sz w:val="20"/>
              </w:rPr>
              <w:t xml:space="preserve">:  I. Kant, </w:t>
            </w:r>
            <w:r>
              <w:rPr>
                <w:rFonts w:ascii="Arial" w:eastAsia="Arial" w:hAnsi="Arial" w:cs="Arial"/>
                <w:i/>
                <w:sz w:val="20"/>
              </w:rPr>
              <w:t>Co to jest Oświecenie</w:t>
            </w:r>
            <w:r>
              <w:rPr>
                <w:rFonts w:ascii="Arial" w:eastAsia="Arial" w:hAnsi="Arial" w:cs="Arial"/>
                <w:sz w:val="20"/>
              </w:rPr>
              <w:t xml:space="preserve">?  Granice rozumu: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I. Kant, </w:t>
            </w:r>
            <w:r>
              <w:rPr>
                <w:rFonts w:ascii="Arial" w:eastAsia="Arial" w:hAnsi="Arial" w:cs="Arial"/>
                <w:i/>
                <w:sz w:val="20"/>
              </w:rPr>
              <w:t>Krytyka czystego rozumu</w:t>
            </w:r>
            <w:r>
              <w:rPr>
                <w:rFonts w:ascii="Arial" w:eastAsia="Arial" w:hAnsi="Arial" w:cs="Arial"/>
                <w:sz w:val="20"/>
              </w:rPr>
              <w:t xml:space="preserve">, przekł., R. Ingarden, BKF, Warszawa 1957,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t. I, ss. 26-33.                                           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4473" name="Group 244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84" name="Shape 31784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4473" style="width:353.64pt;height:1.5pt;mso-position-horizontal-relative:char;mso-position-vertical-relative:line" coordsize="44912,190">
                      <v:shape id="Shape 31785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Rola i natura moralności</w:t>
            </w:r>
            <w:r>
              <w:rPr>
                <w:rFonts w:ascii="Arial" w:eastAsia="Arial" w:hAnsi="Arial" w:cs="Arial"/>
                <w:sz w:val="20"/>
              </w:rPr>
              <w:t xml:space="preserve">: Dyskusja wokół tekstu: I. Kant,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O rzekomym prawie </w:t>
            </w:r>
          </w:p>
          <w:p w:rsidR="00245FE8" w:rsidRDefault="00356FA8">
            <w:pPr>
              <w:spacing w:line="238" w:lineRule="auto"/>
              <w:ind w:left="30" w:right="96"/>
            </w:pPr>
            <w:r>
              <w:rPr>
                <w:rFonts w:ascii="Arial" w:eastAsia="Arial" w:hAnsi="Arial" w:cs="Arial"/>
                <w:i/>
                <w:sz w:val="20"/>
              </w:rPr>
              <w:t>kłamstwa z miłości bliźniego</w:t>
            </w:r>
            <w:r>
              <w:rPr>
                <w:rFonts w:ascii="Arial" w:eastAsia="Arial" w:hAnsi="Arial" w:cs="Arial"/>
                <w:sz w:val="20"/>
              </w:rPr>
              <w:t>, [w:], „Przegląd Filozoficzny”. Nowa Seria, Rocznik 13, nr 4 (52), 2004, ss.25-29.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Status i natura przyszłej metafizyki</w:t>
            </w:r>
            <w:r>
              <w:rPr>
                <w:rFonts w:ascii="Arial" w:eastAsia="Arial" w:hAnsi="Arial" w:cs="Arial"/>
                <w:sz w:val="20"/>
              </w:rPr>
              <w:t xml:space="preserve">; I. Kant, </w:t>
            </w:r>
            <w:r>
              <w:rPr>
                <w:rFonts w:ascii="Arial" w:eastAsia="Arial" w:hAnsi="Arial" w:cs="Arial"/>
                <w:i/>
                <w:sz w:val="20"/>
              </w:rPr>
              <w:t>Prolegomena do wszelkiej przyszłej metafizyki, która będzie mogła wystąpić jako nauka</w:t>
            </w:r>
            <w:r>
              <w:rPr>
                <w:rFonts w:ascii="Arial" w:eastAsia="Arial" w:hAnsi="Arial" w:cs="Arial"/>
                <w:sz w:val="20"/>
              </w:rPr>
              <w:t xml:space="preserve"> (dowolne wydanie), z tego: </w:t>
            </w:r>
            <w:r>
              <w:rPr>
                <w:rFonts w:ascii="Arial" w:eastAsia="Arial" w:hAnsi="Arial" w:cs="Arial"/>
                <w:i/>
                <w:sz w:val="20"/>
              </w:rPr>
              <w:t>Jak w ogólejest możliwa metafizyka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4474" name="Group 244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86" name="Shape 31786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4474" style="width:353.64pt;height:1.5pt;mso-position-horizontal-relative:char;mso-position-vertical-relative:line" coordsize="44912,190">
                      <v:shape id="Shape 31787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Rola Wielkiej Encyklopedii Francuskiej</w:t>
            </w:r>
            <w:r>
              <w:rPr>
                <w:rFonts w:ascii="Arial" w:eastAsia="Arial" w:hAnsi="Arial" w:cs="Arial"/>
                <w:sz w:val="20"/>
              </w:rPr>
              <w:t xml:space="preserve">. Znaczenie D. Diderota. Dyskusja wokół tekstu: J. Litwin, </w:t>
            </w:r>
            <w:r>
              <w:rPr>
                <w:rFonts w:ascii="Arial" w:eastAsia="Arial" w:hAnsi="Arial" w:cs="Arial"/>
                <w:i/>
                <w:sz w:val="20"/>
              </w:rPr>
              <w:t>Kontrowersje Diderota i filozofia dialogu</w:t>
            </w:r>
            <w:r>
              <w:rPr>
                <w:rFonts w:ascii="Arial" w:eastAsia="Arial" w:hAnsi="Arial" w:cs="Arial"/>
                <w:sz w:val="20"/>
              </w:rPr>
              <w:t xml:space="preserve">, w: J. Litwin, </w:t>
            </w:r>
            <w:r>
              <w:rPr>
                <w:rFonts w:ascii="Arial" w:eastAsia="Arial" w:hAnsi="Arial" w:cs="Arial"/>
                <w:i/>
                <w:sz w:val="20"/>
              </w:rPr>
              <w:t>Eseje o dialogach wewnętrznych</w:t>
            </w:r>
            <w:r>
              <w:rPr>
                <w:rFonts w:ascii="Arial" w:eastAsia="Arial" w:hAnsi="Arial" w:cs="Arial"/>
                <w:sz w:val="20"/>
              </w:rPr>
              <w:t xml:space="preserve">, PWN, Warszawa 1967, s. 15-47.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29" w:right="94"/>
            </w:pPr>
            <w:r>
              <w:rPr>
                <w:rFonts w:ascii="Arial" w:eastAsia="Arial" w:hAnsi="Arial" w:cs="Arial"/>
                <w:b/>
                <w:sz w:val="20"/>
              </w:rPr>
              <w:t>Miejsce Woltera w sporach oświeceniowych</w:t>
            </w:r>
            <w:r>
              <w:rPr>
                <w:rFonts w:ascii="Arial" w:eastAsia="Arial" w:hAnsi="Arial" w:cs="Arial"/>
                <w:sz w:val="20"/>
              </w:rPr>
              <w:t xml:space="preserve">. Analiza: Wolter, </w:t>
            </w:r>
            <w:r>
              <w:rPr>
                <w:rFonts w:ascii="Arial" w:eastAsia="Arial" w:hAnsi="Arial" w:cs="Arial"/>
                <w:i/>
                <w:sz w:val="20"/>
              </w:rPr>
              <w:t>Kandyd czyli optymizm</w:t>
            </w:r>
            <w:r>
              <w:rPr>
                <w:rFonts w:ascii="Arial" w:eastAsia="Arial" w:hAnsi="Arial" w:cs="Arial"/>
                <w:sz w:val="20"/>
              </w:rPr>
              <w:t xml:space="preserve">, [w:] </w:t>
            </w:r>
            <w:r>
              <w:rPr>
                <w:rFonts w:ascii="Arial" w:eastAsia="Arial" w:hAnsi="Arial" w:cs="Arial"/>
                <w:i/>
                <w:sz w:val="20"/>
              </w:rPr>
              <w:t>Powiastki filozoficzne</w:t>
            </w:r>
            <w:r>
              <w:rPr>
                <w:rFonts w:ascii="Arial" w:eastAsia="Arial" w:hAnsi="Arial" w:cs="Arial"/>
                <w:sz w:val="20"/>
              </w:rPr>
              <w:t xml:space="preserve">, przekł., T. Żeleński-Boy, Warszawa 1955.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7"/>
              </w:numPr>
              <w:ind w:hanging="167"/>
            </w:pPr>
            <w:r>
              <w:rPr>
                <w:rFonts w:ascii="Arial" w:eastAsia="Arial" w:hAnsi="Arial" w:cs="Arial"/>
                <w:b/>
                <w:sz w:val="20"/>
              </w:rPr>
              <w:t>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>Założenia oświeceniowej idei postępu, analiza i dyskusja wokół tekstu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2" w:line="237" w:lineRule="auto"/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A.N. Condorcet, </w:t>
            </w:r>
            <w:r>
              <w:rPr>
                <w:rFonts w:ascii="Arial" w:eastAsia="Arial" w:hAnsi="Arial" w:cs="Arial"/>
                <w:i/>
                <w:sz w:val="20"/>
              </w:rPr>
              <w:t>Szkic obrazu postępu ducha ludzkiego poprzez dzieje</w:t>
            </w:r>
            <w:r>
              <w:rPr>
                <w:rFonts w:ascii="Arial" w:eastAsia="Arial" w:hAnsi="Arial" w:cs="Arial"/>
                <w:sz w:val="20"/>
              </w:rPr>
              <w:t xml:space="preserve">, BKF, Warszawa 1957.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7"/>
              </w:numPr>
              <w:ind w:hanging="167"/>
            </w:pPr>
            <w:r>
              <w:rPr>
                <w:rFonts w:ascii="Arial" w:eastAsia="Arial" w:hAnsi="Arial" w:cs="Arial"/>
                <w:b/>
                <w:sz w:val="20"/>
              </w:rPr>
              <w:t>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 xml:space="preserve">J. J. Rousseau </w:t>
            </w:r>
            <w:r>
              <w:rPr>
                <w:rFonts w:ascii="Arial" w:eastAsia="Arial" w:hAnsi="Arial" w:cs="Arial"/>
                <w:sz w:val="20"/>
              </w:rPr>
              <w:t xml:space="preserve">– </w:t>
            </w:r>
            <w:r>
              <w:rPr>
                <w:rFonts w:ascii="Arial" w:eastAsia="Arial" w:hAnsi="Arial" w:cs="Arial"/>
                <w:b/>
                <w:sz w:val="20"/>
              </w:rPr>
              <w:t>jako krytyk postępu</w:t>
            </w:r>
            <w:r>
              <w:rPr>
                <w:rFonts w:ascii="Arial" w:eastAsia="Arial" w:hAnsi="Arial" w:cs="Arial"/>
                <w:sz w:val="20"/>
              </w:rPr>
              <w:t xml:space="preserve">. Analiza: J. J. Rousseau, </w:t>
            </w:r>
            <w:r>
              <w:rPr>
                <w:rFonts w:ascii="Arial" w:eastAsia="Arial" w:hAnsi="Arial" w:cs="Arial"/>
                <w:i/>
                <w:sz w:val="20"/>
              </w:rPr>
              <w:t>Czy odrodzenie nauk i sztuk przyczyniło się do poprawy obyczajów</w:t>
            </w:r>
            <w:r>
              <w:rPr>
                <w:rFonts w:ascii="Arial" w:eastAsia="Arial" w:hAnsi="Arial" w:cs="Arial"/>
                <w:sz w:val="20"/>
              </w:rPr>
              <w:t xml:space="preserve">?, </w:t>
            </w:r>
            <w:r>
              <w:rPr>
                <w:rFonts w:ascii="Arial" w:eastAsia="Arial" w:hAnsi="Arial" w:cs="Arial"/>
                <w:i/>
                <w:sz w:val="20"/>
              </w:rPr>
              <w:t>Rozprawa o pochodzeniu i podstawach nierówności między ludźmi</w:t>
            </w:r>
            <w:r>
              <w:rPr>
                <w:rFonts w:ascii="Arial" w:eastAsia="Arial" w:hAnsi="Arial" w:cs="Arial"/>
                <w:sz w:val="20"/>
              </w:rPr>
              <w:t xml:space="preserve"> [w:] </w:t>
            </w:r>
            <w:r>
              <w:rPr>
                <w:rFonts w:ascii="Arial" w:eastAsia="Arial" w:hAnsi="Arial" w:cs="Arial"/>
                <w:i/>
                <w:sz w:val="20"/>
              </w:rPr>
              <w:t>Trzy rozprawy z filozofii społecznej</w:t>
            </w:r>
            <w:r>
              <w:rPr>
                <w:rFonts w:ascii="Arial" w:eastAsia="Arial" w:hAnsi="Arial" w:cs="Arial"/>
                <w:sz w:val="20"/>
              </w:rPr>
              <w:t xml:space="preserve">, przekł. H. Elzenberg, BKF, Warszawa 1956: ss. 9-24, ss. 127-129, 140-143, 168-176, 182-185, 2000-2004, 226-230.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Analiza fragmentów: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J. J. Rousseau, </w:t>
            </w:r>
            <w:r>
              <w:rPr>
                <w:rFonts w:ascii="Arial" w:eastAsia="Arial" w:hAnsi="Arial" w:cs="Arial"/>
                <w:i/>
                <w:sz w:val="20"/>
              </w:rPr>
              <w:t>Umowa społeczna</w:t>
            </w:r>
            <w:r>
              <w:rPr>
                <w:rFonts w:ascii="Arial" w:eastAsia="Arial" w:hAnsi="Arial" w:cs="Arial"/>
                <w:sz w:val="20"/>
              </w:rPr>
              <w:t xml:space="preserve">: Ks. I, rozdz. 1, 2, 4, 6, Ks. IV, rozdz. 1, 8. </w:t>
            </w:r>
          </w:p>
          <w:p w:rsidR="00245FE8" w:rsidRDefault="00356FA8">
            <w:pPr>
              <w:spacing w:line="239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Fragm., Przedmowy do Narcyza, ss. 307-327.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30" w:right="40"/>
            </w:pPr>
            <w:r>
              <w:rPr>
                <w:rFonts w:ascii="Arial" w:eastAsia="Arial" w:hAnsi="Arial" w:cs="Arial"/>
                <w:b/>
                <w:sz w:val="20"/>
              </w:rPr>
              <w:t>Rekonstrukcja niemieckiego paradygmatu postępu</w:t>
            </w:r>
            <w:r>
              <w:rPr>
                <w:rFonts w:ascii="Arial" w:eastAsia="Arial" w:hAnsi="Arial" w:cs="Arial"/>
                <w:sz w:val="20"/>
              </w:rPr>
              <w:t xml:space="preserve">: spór Kanta z Herderem.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Analiza tekstu: I. Kant, </w:t>
            </w:r>
            <w:r>
              <w:rPr>
                <w:rFonts w:ascii="Arial" w:eastAsia="Arial" w:hAnsi="Arial" w:cs="Arial"/>
                <w:i/>
                <w:sz w:val="20"/>
              </w:rPr>
              <w:t>Spór fakultetów</w:t>
            </w:r>
            <w:r>
              <w:rPr>
                <w:rFonts w:ascii="Arial" w:eastAsia="Arial" w:hAnsi="Arial" w:cs="Arial"/>
                <w:sz w:val="20"/>
              </w:rPr>
              <w:t xml:space="preserve">, przekł., M. Żelazny, Wydawnictwo Rolewski, Toruń 2003, rozdz. 2, </w:t>
            </w:r>
            <w:r>
              <w:rPr>
                <w:rFonts w:ascii="Arial" w:eastAsia="Arial" w:hAnsi="Arial" w:cs="Arial"/>
                <w:i/>
                <w:sz w:val="20"/>
              </w:rPr>
              <w:t>Wznowione pytanie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Czy ludzki rodzaj stale zmierza ku temu, co lepsze</w:t>
            </w:r>
            <w:r>
              <w:rPr>
                <w:rFonts w:ascii="Arial" w:eastAsia="Arial" w:hAnsi="Arial" w:cs="Arial"/>
                <w:sz w:val="20"/>
              </w:rPr>
              <w:t xml:space="preserve">, ss. 129-146.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245FE8" w:rsidRDefault="00245FE8">
      <w:pPr>
        <w:spacing w:after="0"/>
        <w:ind w:left="-1417" w:right="899"/>
        <w:jc w:val="both"/>
      </w:pPr>
    </w:p>
    <w:tbl>
      <w:tblPr>
        <w:tblStyle w:val="TableGrid"/>
        <w:tblW w:w="7230" w:type="dxa"/>
        <w:tblInd w:w="1276" w:type="dxa"/>
        <w:tblCellMar>
          <w:top w:w="47" w:type="dxa"/>
          <w:left w:w="7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2782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9800" name="Group 298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92" name="Shape 31792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9800" style="width:353.64pt;height:1.5pt;mso-position-horizontal-relative:char;mso-position-vertical-relative:line" coordsize="44912,190">
                      <v:shape id="Shape 31793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Herderowski model postępu</w:t>
            </w:r>
            <w:r>
              <w:rPr>
                <w:rFonts w:ascii="Arial" w:eastAsia="Arial" w:hAnsi="Arial" w:cs="Arial"/>
                <w:sz w:val="20"/>
              </w:rPr>
              <w:t xml:space="preserve">: Analiza: J. G. Herder, </w:t>
            </w:r>
            <w:r>
              <w:rPr>
                <w:rFonts w:ascii="Arial" w:eastAsia="Arial" w:hAnsi="Arial" w:cs="Arial"/>
                <w:i/>
                <w:sz w:val="20"/>
              </w:rPr>
              <w:t>Myśli o filozofii dziejów</w:t>
            </w:r>
            <w:r>
              <w:rPr>
                <w:rFonts w:ascii="Arial" w:eastAsia="Arial" w:hAnsi="Arial" w:cs="Arial"/>
                <w:sz w:val="20"/>
              </w:rPr>
              <w:t xml:space="preserve">, przekł. Z. Skuza, Dom Wydawniczy Elipsa 2000: Ks. IV, Ks. V, ss. 54-71 oraz: </w:t>
            </w:r>
          </w:p>
          <w:p w:rsidR="00245FE8" w:rsidRDefault="00356FA8">
            <w:pPr>
              <w:spacing w:line="239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Z. Skuza, Filozofia antropologiczna Herdera, ss. 7-34 (tamże).                             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Radykalizacja przewrotu kopernikańskiego Kanta w myśli Fichtego. </w:t>
            </w:r>
          </w:p>
          <w:p w:rsidR="00245FE8" w:rsidRDefault="00356FA8">
            <w:pPr>
              <w:spacing w:after="18"/>
              <w:ind w:left="30"/>
            </w:pPr>
            <w:r>
              <w:rPr>
                <w:rFonts w:ascii="Arial" w:eastAsia="Arial" w:hAnsi="Arial" w:cs="Arial"/>
                <w:sz w:val="20"/>
              </w:rPr>
              <w:t>Dyskusja wokół: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J. G. Fichte, </w:t>
            </w:r>
            <w:r>
              <w:rPr>
                <w:rFonts w:ascii="Arial" w:eastAsia="Arial" w:hAnsi="Arial" w:cs="Arial"/>
                <w:i/>
              </w:rPr>
              <w:t>Teoria wiedzy</w:t>
            </w:r>
            <w:r>
              <w:rPr>
                <w:rFonts w:ascii="Arial" w:eastAsia="Arial" w:hAnsi="Arial" w:cs="Arial"/>
              </w:rPr>
              <w:t xml:space="preserve">, Warszawa 1996;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t. 1, </w:t>
            </w:r>
            <w:r>
              <w:rPr>
                <w:rFonts w:ascii="Arial" w:eastAsia="Arial" w:hAnsi="Arial" w:cs="Arial"/>
                <w:i/>
              </w:rPr>
              <w:t>Pierwsze</w:t>
            </w:r>
            <w:r>
              <w:rPr>
                <w:rFonts w:ascii="Arial" w:eastAsia="Arial" w:hAnsi="Arial" w:cs="Arial"/>
              </w:rPr>
              <w:t xml:space="preserve"> i </w:t>
            </w:r>
            <w:r>
              <w:rPr>
                <w:rFonts w:ascii="Arial" w:eastAsia="Arial" w:hAnsi="Arial" w:cs="Arial"/>
                <w:i/>
              </w:rPr>
              <w:t>Drugie wprowadzenie</w:t>
            </w:r>
            <w:r>
              <w:rPr>
                <w:rFonts w:ascii="Arial" w:eastAsia="Arial" w:hAnsi="Arial" w:cs="Arial"/>
              </w:rPr>
              <w:t xml:space="preserve"> do </w:t>
            </w:r>
            <w:r>
              <w:rPr>
                <w:rFonts w:ascii="Arial" w:eastAsia="Arial" w:hAnsi="Arial" w:cs="Arial"/>
                <w:i/>
              </w:rPr>
              <w:t>Teorii Wiedzy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J. G. Fichte, </w:t>
            </w:r>
            <w:r>
              <w:rPr>
                <w:rFonts w:ascii="Arial" w:eastAsia="Arial" w:hAnsi="Arial" w:cs="Arial"/>
                <w:i/>
              </w:rPr>
              <w:t>Powołanie człowieka</w:t>
            </w:r>
            <w:r>
              <w:rPr>
                <w:rFonts w:ascii="Arial" w:eastAsia="Arial" w:hAnsi="Arial" w:cs="Arial"/>
              </w:rPr>
              <w:t xml:space="preserve">, Warszawa 1956 (fragm.).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Dialektyczny immanentyzmHegla</w:t>
            </w:r>
            <w:r>
              <w:rPr>
                <w:rFonts w:ascii="Arial" w:eastAsia="Arial" w:hAnsi="Arial" w:cs="Arial"/>
              </w:rPr>
              <w:t xml:space="preserve">. Analiza tekstów: G. W. F. Hegel, </w:t>
            </w:r>
          </w:p>
          <w:p w:rsidR="00245FE8" w:rsidRDefault="00356FA8">
            <w:pPr>
              <w:spacing w:after="7"/>
              <w:ind w:left="30"/>
            </w:pPr>
            <w:r>
              <w:rPr>
                <w:rFonts w:ascii="Arial" w:eastAsia="Arial" w:hAnsi="Arial" w:cs="Arial"/>
                <w:i/>
              </w:rPr>
              <w:t>Wykłady z filozofii dziejów</w:t>
            </w:r>
            <w:r>
              <w:rPr>
                <w:rFonts w:ascii="Arial" w:eastAsia="Arial" w:hAnsi="Arial" w:cs="Arial"/>
              </w:rPr>
              <w:t xml:space="preserve">, przekł. A. Landman, BKF, Warszawa 1958;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8"/>
              </w:numPr>
              <w:ind w:hanging="409"/>
            </w:pPr>
            <w:r>
              <w:rPr>
                <w:rFonts w:ascii="Arial" w:eastAsia="Arial" w:hAnsi="Arial" w:cs="Arial"/>
              </w:rPr>
              <w:t xml:space="preserve">t. 1: </w:t>
            </w:r>
            <w:r>
              <w:rPr>
                <w:rFonts w:ascii="Arial" w:eastAsia="Arial" w:hAnsi="Arial" w:cs="Arial"/>
                <w:i/>
              </w:rPr>
              <w:t>Wstęp</w:t>
            </w:r>
            <w:r>
              <w:rPr>
                <w:rFonts w:ascii="Arial" w:eastAsia="Arial" w:hAnsi="Arial" w:cs="Arial"/>
              </w:rPr>
              <w:t xml:space="preserve"> Hegla, , par. </w:t>
            </w:r>
            <w:r>
              <w:rPr>
                <w:rFonts w:ascii="Arial" w:eastAsia="Arial" w:hAnsi="Arial" w:cs="Arial"/>
                <w:i/>
              </w:rPr>
              <w:t>Podział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8"/>
              </w:numPr>
              <w:ind w:hanging="409"/>
            </w:pPr>
            <w:r>
              <w:rPr>
                <w:rFonts w:ascii="Arial" w:eastAsia="Arial" w:hAnsi="Arial" w:cs="Arial"/>
              </w:rPr>
              <w:t xml:space="preserve">tom 2: </w:t>
            </w:r>
            <w:r>
              <w:rPr>
                <w:rFonts w:ascii="Arial" w:eastAsia="Arial" w:hAnsi="Arial" w:cs="Arial"/>
                <w:i/>
              </w:rPr>
              <w:t xml:space="preserve">Oświecenie i rewolucja, </w:t>
            </w:r>
            <w:r>
              <w:rPr>
                <w:rFonts w:ascii="Arial" w:eastAsia="Arial" w:hAnsi="Arial" w:cs="Arial"/>
              </w:rPr>
              <w:t>ss. 352-359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8"/>
              </w:numPr>
              <w:spacing w:after="1" w:line="245" w:lineRule="auto"/>
              <w:ind w:hanging="409"/>
            </w:pPr>
            <w:r>
              <w:rPr>
                <w:rFonts w:ascii="Arial" w:eastAsia="Arial" w:hAnsi="Arial" w:cs="Arial"/>
              </w:rPr>
              <w:t xml:space="preserve">G. W. F. Hegel, </w:t>
            </w:r>
            <w:r>
              <w:rPr>
                <w:rFonts w:ascii="Arial" w:eastAsia="Arial" w:hAnsi="Arial" w:cs="Arial"/>
                <w:i/>
              </w:rPr>
              <w:t>Zasady filozofii prawa</w:t>
            </w:r>
            <w:r>
              <w:rPr>
                <w:rFonts w:ascii="Arial" w:eastAsia="Arial" w:hAnsi="Arial" w:cs="Arial"/>
              </w:rPr>
              <w:t>, przekł., A. Landman, BKF, Warszawa 1969</w:t>
            </w:r>
            <w:r>
              <w:rPr>
                <w:rFonts w:ascii="Arial" w:eastAsia="Arial" w:hAnsi="Arial" w:cs="Arial"/>
                <w:i/>
              </w:rPr>
              <w:t xml:space="preserve"> Uzupełnienia</w:t>
            </w:r>
            <w:r>
              <w:rPr>
                <w:rFonts w:ascii="Arial" w:eastAsia="Arial" w:hAnsi="Arial" w:cs="Arial"/>
              </w:rPr>
              <w:t xml:space="preserve">, ss. 341-354.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Schopenhauer jako krytyk Kanta i Hegla</w:t>
            </w:r>
            <w:r>
              <w:rPr>
                <w:rFonts w:ascii="Arial" w:eastAsia="Arial" w:hAnsi="Arial" w:cs="Arial"/>
                <w:sz w:val="20"/>
              </w:rPr>
              <w:t xml:space="preserve">. Dyskusja wokół tekstu: A.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Schopenhauer, </w:t>
            </w:r>
            <w:r>
              <w:rPr>
                <w:rFonts w:ascii="Arial" w:eastAsia="Arial" w:hAnsi="Arial" w:cs="Arial"/>
                <w:i/>
                <w:sz w:val="20"/>
              </w:rPr>
              <w:t>Świat jako wola i przedstawienie</w:t>
            </w:r>
            <w:r>
              <w:rPr>
                <w:rFonts w:ascii="Arial" w:eastAsia="Arial" w:hAnsi="Arial" w:cs="Arial"/>
                <w:sz w:val="20"/>
              </w:rPr>
              <w:t xml:space="preserve">, przekł. J. Garewicz, PWN,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>Warszawa 2011, t. 1, ss. 30-56 (fragm</w:t>
            </w:r>
            <w:r>
              <w:rPr>
                <w:rFonts w:ascii="Arial" w:eastAsia="Arial" w:hAnsi="Arial" w:cs="Arial"/>
                <w:b/>
                <w:sz w:val="20"/>
              </w:rPr>
              <w:t xml:space="preserve">.).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S. Kierkegaard: człowiek jako podmiot wiary.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32" w:line="238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Dyskusja wokół tekstów: S. Kierkegaard, </w:t>
            </w:r>
            <w:r>
              <w:rPr>
                <w:rFonts w:ascii="Arial" w:eastAsia="Arial" w:hAnsi="Arial" w:cs="Arial"/>
                <w:i/>
                <w:sz w:val="20"/>
              </w:rPr>
              <w:t>Bojaźń i drżenie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Choroba na śmierć</w:t>
            </w:r>
            <w:r>
              <w:rPr>
                <w:rFonts w:ascii="Arial" w:eastAsia="Arial" w:hAnsi="Arial" w:cs="Arial"/>
                <w:sz w:val="20"/>
              </w:rPr>
              <w:t>, przekł. J. Iwaszkiewicz, Poznań 1995: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9"/>
              </w:numPr>
              <w:ind w:hanging="348"/>
            </w:pPr>
            <w:r>
              <w:rPr>
                <w:rFonts w:ascii="Arial" w:eastAsia="Arial" w:hAnsi="Arial" w:cs="Arial"/>
                <w:i/>
                <w:sz w:val="20"/>
              </w:rPr>
              <w:t>Pochwała Abrahama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9"/>
              </w:numPr>
              <w:ind w:hanging="348"/>
            </w:pPr>
            <w:r>
              <w:rPr>
                <w:rFonts w:ascii="Arial" w:eastAsia="Arial" w:hAnsi="Arial" w:cs="Arial"/>
                <w:i/>
                <w:sz w:val="20"/>
              </w:rPr>
              <w:t>Problemat I: Czy może istnieć teologiczne zawieszenie etyki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9"/>
              </w:numPr>
              <w:ind w:hanging="348"/>
            </w:pPr>
            <w:r>
              <w:rPr>
                <w:rFonts w:ascii="Arial" w:eastAsia="Arial" w:hAnsi="Arial" w:cs="Arial"/>
                <w:i/>
                <w:sz w:val="20"/>
              </w:rPr>
              <w:t>Problemat III: Czy można obronić Abrahama</w:t>
            </w:r>
            <w:r>
              <w:rPr>
                <w:rFonts w:ascii="Arial" w:eastAsia="Arial" w:hAnsi="Arial" w:cs="Arial"/>
                <w:sz w:val="20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Przesłanie Hioba</w:t>
            </w:r>
            <w:r>
              <w:rPr>
                <w:rFonts w:ascii="Arial" w:eastAsia="Arial" w:hAnsi="Arial" w:cs="Arial"/>
                <w:sz w:val="20"/>
              </w:rPr>
              <w:t xml:space="preserve">. Analiza: S. Kierkegaard, </w:t>
            </w:r>
            <w:r>
              <w:rPr>
                <w:rFonts w:ascii="Arial" w:eastAsia="Arial" w:hAnsi="Arial" w:cs="Arial"/>
                <w:i/>
                <w:sz w:val="20"/>
              </w:rPr>
              <w:t>Hiob,</w:t>
            </w:r>
            <w:r>
              <w:rPr>
                <w:rFonts w:ascii="Arial" w:eastAsia="Arial" w:hAnsi="Arial" w:cs="Arial"/>
                <w:sz w:val="20"/>
              </w:rPr>
              <w:t xml:space="preserve"> w: </w:t>
            </w:r>
            <w:r>
              <w:rPr>
                <w:rFonts w:ascii="Arial" w:eastAsia="Arial" w:hAnsi="Arial" w:cs="Arial"/>
                <w:i/>
                <w:sz w:val="20"/>
              </w:rPr>
              <w:t>Pisma mniejsze</w:t>
            </w:r>
            <w:r>
              <w:rPr>
                <w:rFonts w:ascii="Arial" w:eastAsia="Arial" w:hAnsi="Arial" w:cs="Arial"/>
                <w:sz w:val="20"/>
              </w:rPr>
              <w:t>, Wydawnictwo Adam Marszałek, Toruń 2007, ss. 143-161.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Krytyka epoki rozumu</w:t>
            </w:r>
            <w:r>
              <w:rPr>
                <w:rFonts w:ascii="Arial" w:eastAsia="Arial" w:hAnsi="Arial" w:cs="Arial"/>
                <w:sz w:val="20"/>
              </w:rPr>
              <w:t xml:space="preserve">: S. Kierkegaard, </w:t>
            </w:r>
            <w:r>
              <w:rPr>
                <w:rFonts w:ascii="Arial" w:eastAsia="Arial" w:hAnsi="Arial" w:cs="Arial"/>
                <w:i/>
                <w:sz w:val="20"/>
              </w:rPr>
              <w:t>Recenzja literacka</w:t>
            </w:r>
            <w:r>
              <w:rPr>
                <w:rFonts w:ascii="Arial" w:eastAsia="Arial" w:hAnsi="Arial" w:cs="Arial"/>
                <w:sz w:val="20"/>
              </w:rPr>
              <w:t>, [w:] „Kronos”, nr 1/2008, ss. 31-56.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Maxa Stirnera krytyka Hegla: indywidualizm jako droga do wolności.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Analiza wybranych fragm.. tekstu:  </w:t>
            </w:r>
          </w:p>
          <w:p w:rsidR="00245FE8" w:rsidRDefault="00356FA8">
            <w:pPr>
              <w:spacing w:line="239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>M. Stirner</w:t>
            </w:r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Jedyny i jego własność</w:t>
            </w:r>
            <w:r>
              <w:rPr>
                <w:rFonts w:ascii="Arial" w:eastAsia="Arial" w:hAnsi="Arial" w:cs="Arial"/>
                <w:sz w:val="20"/>
              </w:rPr>
              <w:t>, PWN, Warszawa 1995</w:t>
            </w:r>
            <w:r>
              <w:rPr>
                <w:rFonts w:ascii="Arial" w:eastAsia="Arial" w:hAnsi="Arial" w:cs="Arial"/>
                <w:b/>
                <w:sz w:val="20"/>
              </w:rPr>
              <w:t>.                                  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32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Feuerbachowska krytyka Hegla i Stirnera. </w:t>
            </w:r>
            <w:r>
              <w:rPr>
                <w:rFonts w:ascii="Arial" w:eastAsia="Arial" w:hAnsi="Arial" w:cs="Arial"/>
                <w:sz w:val="20"/>
              </w:rPr>
              <w:t xml:space="preserve">Dyskusja wokół fragm., L. Feuerbach, </w:t>
            </w:r>
            <w:r>
              <w:rPr>
                <w:rFonts w:ascii="Arial" w:eastAsia="Arial" w:hAnsi="Arial" w:cs="Arial"/>
                <w:i/>
                <w:sz w:val="20"/>
              </w:rPr>
              <w:t>Wykłady o istocie religii</w:t>
            </w:r>
            <w:r>
              <w:rPr>
                <w:rFonts w:ascii="Arial" w:eastAsia="Arial" w:hAnsi="Arial" w:cs="Arial"/>
                <w:sz w:val="20"/>
              </w:rPr>
              <w:t>,  przekł., E. Skowron i T.  W i t w i c k i, Warszawa 1981: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sz w:val="20"/>
              </w:rPr>
              <w:t xml:space="preserve">Wykład 1-6, 23, 28-30 oraz: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spacing w:after="27" w:line="243" w:lineRule="auto"/>
              <w:ind w:left="738" w:hanging="352"/>
            </w:pPr>
            <w:r>
              <w:rPr>
                <w:rFonts w:ascii="Arial" w:eastAsia="Arial" w:hAnsi="Arial" w:cs="Arial"/>
                <w:sz w:val="20"/>
              </w:rPr>
              <w:t xml:space="preserve">L. Feuerbach, </w:t>
            </w:r>
            <w:r>
              <w:rPr>
                <w:rFonts w:ascii="Arial" w:eastAsia="Arial" w:hAnsi="Arial" w:cs="Arial"/>
                <w:i/>
                <w:sz w:val="20"/>
              </w:rPr>
              <w:t>Zasady filozofii przyszłości</w:t>
            </w:r>
            <w:r>
              <w:rPr>
                <w:rFonts w:ascii="Arial" w:eastAsia="Arial" w:hAnsi="Arial" w:cs="Arial"/>
                <w:sz w:val="20"/>
              </w:rPr>
              <w:t xml:space="preserve">, w L. Feuerbach, </w:t>
            </w:r>
            <w:r>
              <w:rPr>
                <w:rFonts w:ascii="Arial" w:eastAsia="Arial" w:hAnsi="Arial" w:cs="Arial"/>
                <w:i/>
                <w:sz w:val="20"/>
              </w:rPr>
              <w:t>Wybór pism II</w:t>
            </w:r>
            <w:r>
              <w:rPr>
                <w:rFonts w:ascii="Arial" w:eastAsia="Arial" w:hAnsi="Arial" w:cs="Arial"/>
                <w:sz w:val="20"/>
              </w:rPr>
              <w:t xml:space="preserve">, przekł. K. Krzemieniowa i M. Skwieciński, PWN, Warszawa 1988: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i/>
                <w:sz w:val="20"/>
              </w:rPr>
              <w:t>Przedmowa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i/>
                <w:sz w:val="20"/>
              </w:rPr>
              <w:t>Istota religii w ujęciu Lutra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spacing w:line="241" w:lineRule="auto"/>
              <w:ind w:left="738" w:hanging="352"/>
            </w:pPr>
            <w:r>
              <w:rPr>
                <w:rFonts w:ascii="Arial" w:eastAsia="Arial" w:hAnsi="Arial" w:cs="Arial"/>
                <w:i/>
                <w:sz w:val="20"/>
              </w:rPr>
              <w:t xml:space="preserve">O istocie chrześcijaństwa </w:t>
            </w:r>
            <w:r>
              <w:rPr>
                <w:rFonts w:ascii="Arial" w:eastAsia="Arial" w:hAnsi="Arial" w:cs="Arial"/>
                <w:sz w:val="20"/>
              </w:rPr>
              <w:t>w odniesieniu do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Jedynego i jego własności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i/>
                <w:sz w:val="20"/>
              </w:rPr>
              <w:t>O istocie religii</w:t>
            </w:r>
            <w:r>
              <w:rPr>
                <w:rFonts w:ascii="Arial" w:eastAsia="Arial" w:hAnsi="Arial" w:cs="Arial"/>
                <w:sz w:val="20"/>
              </w:rPr>
              <w:t xml:space="preserve">.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5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9801" name="Group 298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94" name="Shape 31794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9801" style="width:353.64pt;height:1.5pt;mso-position-horizontal-relative:char;mso-position-vertical-relative:line" coordsize="44912,190">
                      <v:shape id="Shape 31795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b/>
                <w:sz w:val="20"/>
              </w:rPr>
              <w:t>Główne założenia socjalizmu utopijnego</w:t>
            </w:r>
            <w:r>
              <w:rPr>
                <w:rFonts w:ascii="Arial" w:eastAsia="Arial" w:hAnsi="Arial" w:cs="Arial"/>
                <w:sz w:val="20"/>
              </w:rPr>
              <w:t xml:space="preserve">. Dyskusja wokół: C.H. </w:t>
            </w:r>
          </w:p>
          <w:p w:rsidR="00245FE8" w:rsidRDefault="00356FA8">
            <w:pPr>
              <w:ind w:left="750"/>
            </w:pPr>
            <w:r>
              <w:rPr>
                <w:rFonts w:ascii="Arial" w:eastAsia="Arial" w:hAnsi="Arial" w:cs="Arial"/>
                <w:sz w:val="20"/>
              </w:rPr>
              <w:t xml:space="preserve">Saint-Simon, </w:t>
            </w:r>
            <w:r>
              <w:rPr>
                <w:rFonts w:ascii="Arial" w:eastAsia="Arial" w:hAnsi="Arial" w:cs="Arial"/>
                <w:i/>
                <w:sz w:val="20"/>
              </w:rPr>
              <w:t>Pisma wybrane</w:t>
            </w:r>
            <w:r>
              <w:rPr>
                <w:rFonts w:ascii="Arial" w:eastAsia="Arial" w:hAnsi="Arial" w:cs="Arial"/>
                <w:sz w:val="20"/>
              </w:rPr>
              <w:t xml:space="preserve">, przekł., J. Trybusiewicz, Warszawa </w:t>
            </w:r>
          </w:p>
        </w:tc>
      </w:tr>
      <w:tr w:rsidR="00245FE8">
        <w:trPr>
          <w:trHeight w:val="3244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34" w:line="237" w:lineRule="auto"/>
              <w:ind w:left="750"/>
              <w:jc w:val="both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1968, t.1: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Listy mieszkańca Genewy do swoich współczesnych </w:t>
            </w:r>
            <w:r>
              <w:rPr>
                <w:rFonts w:ascii="Arial" w:eastAsia="Arial" w:hAnsi="Arial" w:cs="Arial"/>
                <w:sz w:val="20"/>
              </w:rPr>
              <w:t xml:space="preserve">(List pierwszy); oraz: t. 2: </w:t>
            </w:r>
            <w:r>
              <w:rPr>
                <w:rFonts w:ascii="Arial" w:eastAsia="Arial" w:hAnsi="Arial" w:cs="Arial"/>
                <w:i/>
                <w:sz w:val="20"/>
              </w:rPr>
              <w:t>O systemie industrialnym</w:t>
            </w:r>
            <w:r>
              <w:rPr>
                <w:rFonts w:ascii="Arial" w:eastAsia="Arial" w:hAnsi="Arial" w:cs="Arial"/>
                <w:sz w:val="20"/>
              </w:rPr>
              <w:t xml:space="preserve">,  </w:t>
            </w:r>
            <w:r>
              <w:rPr>
                <w:rFonts w:ascii="Arial" w:eastAsia="Arial" w:hAnsi="Arial" w:cs="Arial"/>
                <w:i/>
                <w:sz w:val="20"/>
              </w:rPr>
              <w:t>Klasa proletariuszy</w:t>
            </w:r>
            <w:r>
              <w:rPr>
                <w:rFonts w:ascii="Arial" w:eastAsia="Arial" w:hAnsi="Arial" w:cs="Arial"/>
                <w:sz w:val="20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tabs>
                <w:tab w:val="center" w:pos="436"/>
                <w:tab w:val="center" w:pos="1111"/>
              </w:tabs>
            </w:pPr>
            <w:r>
              <w:tab/>
            </w: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 xml:space="preserve"> 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4"/>
              <w:ind w:left="36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262628" cy="19050"/>
                      <wp:effectExtent l="0" t="0" r="0" b="0"/>
                      <wp:docPr id="28103" name="Group 281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62628" cy="19050"/>
                                <a:chOff x="0" y="0"/>
                                <a:chExt cx="4262628" cy="19050"/>
                              </a:xfrm>
                            </wpg:grpSpPr>
                            <wps:wsp>
                              <wps:cNvPr id="31796" name="Shape 31796"/>
                              <wps:cNvSpPr/>
                              <wps:spPr>
                                <a:xfrm>
                                  <a:off x="0" y="0"/>
                                  <a:ext cx="42626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62628" h="19050">
                                      <a:moveTo>
                                        <a:pt x="0" y="0"/>
                                      </a:moveTo>
                                      <a:lnTo>
                                        <a:pt x="4262628" y="0"/>
                                      </a:lnTo>
                                      <a:lnTo>
                                        <a:pt x="42626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103" style="width:335.64pt;height:1.5pt;mso-position-horizontal-relative:char;mso-position-vertical-relative:line" coordsize="42626,190">
                      <v:shape id="Shape 31797" style="position:absolute;width:42626;height:190;left:0;top:0;" coordsize="4262628,19050" path="m0,0l4262628,0l42626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Przewrót filozoficzny Marksa</w:t>
            </w:r>
            <w:r>
              <w:rPr>
                <w:rFonts w:ascii="Arial" w:eastAsia="Arial" w:hAnsi="Arial" w:cs="Arial"/>
                <w:sz w:val="20"/>
              </w:rPr>
              <w:t>: przezwyciężenie stanowiska Hegla.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104" name="Group 281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98" name="Shape 31798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104" style="width:353.64pt;height:1.5pt;mso-position-horizontal-relative:char;mso-position-vertical-relative:line" coordsize="44912,190">
                      <v:shape id="Shape 31799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after="2" w:line="237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K. Marks, analiza fragm.: K. Marks, </w:t>
            </w:r>
            <w:r>
              <w:rPr>
                <w:rFonts w:ascii="Arial" w:eastAsia="Arial" w:hAnsi="Arial" w:cs="Arial"/>
                <w:i/>
                <w:sz w:val="20"/>
              </w:rPr>
              <w:t>Ideologia niemiecka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Manifest komunistyczny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Kapitał</w:t>
            </w:r>
            <w:r>
              <w:rPr>
                <w:rFonts w:ascii="Arial" w:eastAsia="Arial" w:hAnsi="Arial" w:cs="Arial"/>
                <w:sz w:val="20"/>
              </w:rPr>
              <w:t xml:space="preserve"> (fragm..) i </w:t>
            </w:r>
            <w:r>
              <w:rPr>
                <w:rFonts w:ascii="Arial" w:eastAsia="Arial" w:hAnsi="Arial" w:cs="Arial"/>
                <w:i/>
                <w:sz w:val="20"/>
              </w:rPr>
              <w:t>Tezy o Feuerbachu</w:t>
            </w:r>
            <w:r>
              <w:rPr>
                <w:rFonts w:ascii="Arial" w:eastAsia="Arial" w:hAnsi="Arial" w:cs="Arial"/>
                <w:sz w:val="20"/>
              </w:rPr>
              <w:t xml:space="preserve">.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8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>Filozofia pozytywna – główne założenia.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Przewrót pozytywistyczny Comte’a. Analiza wybranych fragm.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spacing w:line="238" w:lineRule="auto"/>
              <w:ind w:left="30"/>
            </w:pPr>
            <w:r>
              <w:rPr>
                <w:rFonts w:ascii="Arial" w:eastAsia="Arial" w:hAnsi="Arial" w:cs="Arial"/>
              </w:rPr>
              <w:t xml:space="preserve">A. Comte, </w:t>
            </w:r>
            <w:r>
              <w:rPr>
                <w:rFonts w:ascii="Arial" w:eastAsia="Arial" w:hAnsi="Arial" w:cs="Arial"/>
                <w:i/>
              </w:rPr>
              <w:t>Metoda pozytywna w szesnastu wykładach</w:t>
            </w:r>
            <w:r>
              <w:rPr>
                <w:rFonts w:ascii="Arial" w:eastAsia="Arial" w:hAnsi="Arial" w:cs="Arial"/>
              </w:rPr>
              <w:t xml:space="preserve">, Warszawa 1961: </w:t>
            </w:r>
            <w:r>
              <w:rPr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Wykład 1, </w:t>
            </w:r>
            <w:r>
              <w:rPr>
                <w:rFonts w:ascii="Arial" w:eastAsia="Arial" w:hAnsi="Arial" w:cs="Arial"/>
                <w:i/>
              </w:rPr>
              <w:t>Istota i znaczenie metody pozytywnej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t xml:space="preserve"> </w:t>
            </w:r>
          </w:p>
        </w:tc>
      </w:tr>
    </w:tbl>
    <w:p w:rsidR="00245FE8" w:rsidRDefault="00356FA8">
      <w:pPr>
        <w:spacing w:after="98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421"/>
      </w:pPr>
      <w:r>
        <w:t>3.4 Metody dydaktyczne</w:t>
      </w:r>
      <w:r>
        <w:rPr>
          <w:b w:val="0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245FE8" w:rsidRDefault="00356FA8">
      <w:pPr>
        <w:spacing w:after="8" w:line="249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245FE8" w:rsidRDefault="00356FA8">
      <w:pPr>
        <w:spacing w:after="8" w:line="249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projektów(projekt badawczy, wdrożeniowy, praktyczny), praca </w:t>
      </w:r>
    </w:p>
    <w:p w:rsidR="00245FE8" w:rsidRDefault="00356FA8">
      <w:pPr>
        <w:spacing w:after="8" w:line="249" w:lineRule="auto"/>
        <w:ind w:left="-5" w:right="642" w:hanging="10"/>
      </w:pPr>
      <w:r>
        <w:rPr>
          <w:rFonts w:ascii="Corbel" w:eastAsia="Corbel" w:hAnsi="Corbel" w:cs="Corbel"/>
          <w:i/>
          <w:sz w:val="20"/>
        </w:rPr>
        <w:t xml:space="preserve">w grupach (rozwiązywanie zadań, dyskusja),gry dydaktyczne, metody kształcenia na odległość  Laboratorium: wykonywanie doświadczeń, projektowanie doświadczeń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</w:pPr>
      <w:r>
        <w:t xml:space="preserve">4. METODY I KRYTERIA OCENY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2"/>
        <w:ind w:left="421"/>
      </w:pPr>
      <w:r>
        <w:t xml:space="preserve">4.1 Sposoby weryfikacji efektów uczenia się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107" w:type="dxa"/>
        <w:tblCellMar>
          <w:top w:w="48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9"/>
        <w:gridCol w:w="2126"/>
      </w:tblGrid>
      <w:tr w:rsidR="00245FE8">
        <w:trPr>
          <w:trHeight w:val="88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>Symbol efektu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(np.: kolokwium, egzamin ustny, egzamin pisemny, projekt, sprawozdanie, obserwacja w trakcie zajęć)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spacing w:after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245FE8" w:rsidRDefault="00356FA8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(w, ćw, …)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01 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Egzamin ustny 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Wykład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02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Ćwiczenia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03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Wykład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04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Wykład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05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Ćwiczenia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Ek_ 06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Ćwiczenia </w:t>
            </w:r>
          </w:p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421"/>
      </w:pPr>
      <w:r>
        <w:t xml:space="preserve">4.2 Warunki zaliczenia przedmiotu (kryteria oceniania) </w:t>
      </w:r>
    </w:p>
    <w:p w:rsidR="00245FE8" w:rsidRDefault="00356FA8">
      <w:pPr>
        <w:spacing w:after="0"/>
        <w:ind w:left="426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5" w:line="250" w:lineRule="auto"/>
        <w:ind w:left="211" w:hanging="10"/>
      </w:pPr>
      <w:r>
        <w:rPr>
          <w:rFonts w:ascii="Corbel" w:eastAsia="Corbel" w:hAnsi="Corbel" w:cs="Corbel"/>
          <w:sz w:val="24"/>
        </w:rPr>
        <w:lastRenderedPageBreak/>
        <w:t xml:space="preserve">Warunkiem zaliczenia wykładu jest obecność na nim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5" w:line="250" w:lineRule="auto"/>
        <w:ind w:left="211" w:hanging="10"/>
      </w:pPr>
      <w:r>
        <w:rPr>
          <w:rFonts w:ascii="Corbel" w:eastAsia="Corbel" w:hAnsi="Corbel" w:cs="Corbel"/>
          <w:sz w:val="24"/>
        </w:rPr>
        <w:t xml:space="preserve">Warunkiem zaliczenia ćwieczeń jest czynne uczestnitwo w nich polegające na dyskusji poszczgólnych dzieł filozofów nowożytnych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/>
        <w:ind w:left="201"/>
      </w:pPr>
      <w: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ind w:left="269" w:hanging="284"/>
      </w:pPr>
      <w:r>
        <w:t xml:space="preserve">5. CAŁKOWITY NAKŁAD PRACY STUDENTA POTRZEBNY DO OSIĄGNIĘCIA ZAŁOŻONYCH EFEKTÓW W GODZINACH ORAZ PUNKTACH ECTS 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107" w:type="dxa"/>
        <w:tblCellMar>
          <w:top w:w="48" w:type="dxa"/>
          <w:left w:w="109" w:type="dxa"/>
          <w:right w:w="59" w:type="dxa"/>
        </w:tblCellMar>
        <w:tblLook w:val="04A0" w:firstRow="1" w:lastRow="0" w:firstColumn="1" w:lastColumn="0" w:noHBand="0" w:noVBand="1"/>
      </w:tblPr>
      <w:tblGrid>
        <w:gridCol w:w="4962"/>
        <w:gridCol w:w="4678"/>
      </w:tblGrid>
      <w:tr w:rsidR="00245FE8">
        <w:trPr>
          <w:trHeight w:val="593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49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godzinna zrealizowanie aktywności</w:t>
            </w:r>
            <w:r>
              <w:t xml:space="preserve"> </w:t>
            </w:r>
          </w:p>
        </w:tc>
      </w:tr>
      <w:tr w:rsidR="00245FE8">
        <w:trPr>
          <w:trHeight w:val="593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Godziny kontaktowe wynikające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>studiów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120 </w:t>
            </w:r>
          </w:p>
        </w:tc>
      </w:tr>
      <w:tr w:rsidR="00245FE8">
        <w:trPr>
          <w:trHeight w:val="593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Inne z udziałem nauczyciela akademickiego (udział w konsultacjach, egzaminie)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10 </w:t>
            </w:r>
          </w:p>
        </w:tc>
      </w:tr>
      <w:tr w:rsidR="00245FE8">
        <w:trPr>
          <w:trHeight w:val="1180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spacing w:after="1"/>
              <w:ind w:right="1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</w:tr>
      <w:tr w:rsidR="00245FE8">
        <w:trPr>
          <w:trHeight w:val="397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SUMA GODZIN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150 </w:t>
            </w:r>
          </w:p>
        </w:tc>
      </w:tr>
      <w:tr w:rsidR="00245FE8">
        <w:trPr>
          <w:trHeight w:val="396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</w:tbl>
    <w:p w:rsidR="00245FE8" w:rsidRDefault="00356FA8">
      <w:pPr>
        <w:spacing w:after="0" w:line="241" w:lineRule="auto"/>
        <w:ind w:left="42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ind w:left="-5"/>
      </w:pPr>
      <w:r>
        <w:t xml:space="preserve">6. PRAKTYKI ZAWODOWE W RAMACH PRZEDMIOTU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2" w:type="dxa"/>
        <w:tblInd w:w="67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68"/>
      </w:tblGrid>
      <w:tr w:rsidR="00245FE8">
        <w:trPr>
          <w:trHeight w:val="405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wymiar godzinowy</w:t>
            </w:r>
            <w:r>
              <w:t xml:space="preserve"> </w:t>
            </w:r>
          </w:p>
        </w:tc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t xml:space="preserve">Nie dotyczy </w:t>
            </w:r>
          </w:p>
        </w:tc>
      </w:tr>
      <w:tr w:rsidR="00245FE8">
        <w:trPr>
          <w:trHeight w:val="593"/>
        </w:trPr>
        <w:tc>
          <w:tcPr>
            <w:tcW w:w="354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  <w:r>
              <w:t xml:space="preserve"> 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t xml:space="preserve">Nie dotyczy  </w:t>
            </w:r>
          </w:p>
        </w:tc>
      </w:tr>
    </w:tbl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ind w:left="-5"/>
      </w:pPr>
      <w:r>
        <w:t xml:space="preserve">7. LITERATURA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2" w:type="dxa"/>
        <w:tblInd w:w="675" w:type="dxa"/>
        <w:tblCellMar>
          <w:top w:w="5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7512"/>
      </w:tblGrid>
      <w:tr w:rsidR="00245FE8">
        <w:trPr>
          <w:trHeight w:val="553"/>
        </w:trPr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spacing w:after="11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  <w:r>
              <w:rPr>
                <w:rFonts w:ascii="Times New Roman" w:eastAsia="Times New Roman" w:hAnsi="Times New Roman" w:cs="Times New Roman"/>
                <w:b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ITERATURA ZOSTAŁA PODANA PRZY </w:t>
            </w:r>
          </w:p>
          <w:p w:rsidR="00245FE8" w:rsidRDefault="00356FA8"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SZCZEGÓŁOWYM WYKAZIE TREŚCI WYKŁADÓW I ĆWIECZEŃ </w:t>
            </w:r>
            <w:r>
              <w:t xml:space="preserve"> </w:t>
            </w:r>
          </w:p>
        </w:tc>
      </w:tr>
      <w:tr w:rsidR="00245FE8">
        <w:trPr>
          <w:trHeight w:val="1765"/>
        </w:trPr>
        <w:tc>
          <w:tcPr>
            <w:tcW w:w="751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W. Tatarkiewicz, Historia filozofii, tom II, Filozofia Nowożytna do roku 1830, Warszawa 1968;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B.A.G. Fuller, Historia filozofii, tom II, Filozofia nowożytna, przełożył Cz.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Znamierski, Warszawa 1967;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F. Copleston, Historia filozofii, Tom: IV, V, VI, VII, Warszawa 1998 </w:t>
            </w:r>
            <w:r>
              <w:t xml:space="preserve"> </w:t>
            </w:r>
          </w:p>
        </w:tc>
      </w:tr>
    </w:tbl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245FE8">
      <w:pgSz w:w="12240" w:h="15840"/>
      <w:pgMar w:top="1421" w:right="1418" w:bottom="1468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76099"/>
    <w:multiLevelType w:val="hybridMultilevel"/>
    <w:tmpl w:val="43347C4E"/>
    <w:lvl w:ilvl="0" w:tplc="22CAF9D6">
      <w:start w:val="1"/>
      <w:numFmt w:val="decimal"/>
      <w:lvlText w:val="%1"/>
      <w:lvlJc w:val="left"/>
      <w:pPr>
        <w:ind w:left="1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00FADC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7E7AD4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08D3F0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5C6CD2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346C78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BE38AA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403D8C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AC1A32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787BBB"/>
    <w:multiLevelType w:val="hybridMultilevel"/>
    <w:tmpl w:val="20465F1E"/>
    <w:lvl w:ilvl="0" w:tplc="6E2AD6BC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94788E">
      <w:start w:val="1"/>
      <w:numFmt w:val="bullet"/>
      <w:lvlText w:val="o"/>
      <w:lvlJc w:val="left"/>
      <w:pPr>
        <w:ind w:left="1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227F90">
      <w:start w:val="1"/>
      <w:numFmt w:val="bullet"/>
      <w:lvlText w:val="▪"/>
      <w:lvlJc w:val="left"/>
      <w:pPr>
        <w:ind w:left="2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9C7296">
      <w:start w:val="1"/>
      <w:numFmt w:val="bullet"/>
      <w:lvlText w:val="•"/>
      <w:lvlJc w:val="left"/>
      <w:pPr>
        <w:ind w:left="2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169604">
      <w:start w:val="1"/>
      <w:numFmt w:val="bullet"/>
      <w:lvlText w:val="o"/>
      <w:lvlJc w:val="left"/>
      <w:pPr>
        <w:ind w:left="3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8ED4C0">
      <w:start w:val="1"/>
      <w:numFmt w:val="bullet"/>
      <w:lvlText w:val="▪"/>
      <w:lvlJc w:val="left"/>
      <w:pPr>
        <w:ind w:left="4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1C8244">
      <w:start w:val="1"/>
      <w:numFmt w:val="bullet"/>
      <w:lvlText w:val="•"/>
      <w:lvlJc w:val="left"/>
      <w:pPr>
        <w:ind w:left="5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563ACE">
      <w:start w:val="1"/>
      <w:numFmt w:val="bullet"/>
      <w:lvlText w:val="o"/>
      <w:lvlJc w:val="left"/>
      <w:pPr>
        <w:ind w:left="5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F21C16">
      <w:start w:val="1"/>
      <w:numFmt w:val="bullet"/>
      <w:lvlText w:val="▪"/>
      <w:lvlJc w:val="left"/>
      <w:pPr>
        <w:ind w:left="6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4B6F7D"/>
    <w:multiLevelType w:val="hybridMultilevel"/>
    <w:tmpl w:val="D07828DC"/>
    <w:lvl w:ilvl="0" w:tplc="E9A4EF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66735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EAF4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B0FED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383DA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38012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98DBD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123F6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16728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CC7ED2"/>
    <w:multiLevelType w:val="hybridMultilevel"/>
    <w:tmpl w:val="1E7603EC"/>
    <w:lvl w:ilvl="0" w:tplc="D13A59E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8C57C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CE485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6066E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8EFAD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4C3EE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DAA80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A882A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32ED8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72D74A0"/>
    <w:multiLevelType w:val="hybridMultilevel"/>
    <w:tmpl w:val="E9DAF68A"/>
    <w:lvl w:ilvl="0" w:tplc="D3260054">
      <w:start w:val="1"/>
      <w:numFmt w:val="bullet"/>
      <w:lvlText w:val="•"/>
      <w:lvlJc w:val="left"/>
      <w:pPr>
        <w:ind w:left="1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B00412">
      <w:start w:val="1"/>
      <w:numFmt w:val="bullet"/>
      <w:lvlText w:val="o"/>
      <w:lvlJc w:val="left"/>
      <w:pPr>
        <w:ind w:left="2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26D7EA">
      <w:start w:val="1"/>
      <w:numFmt w:val="bullet"/>
      <w:lvlText w:val="▪"/>
      <w:lvlJc w:val="left"/>
      <w:pPr>
        <w:ind w:left="2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BC7876">
      <w:start w:val="1"/>
      <w:numFmt w:val="bullet"/>
      <w:lvlText w:val="•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402166">
      <w:start w:val="1"/>
      <w:numFmt w:val="bullet"/>
      <w:lvlText w:val="o"/>
      <w:lvlJc w:val="left"/>
      <w:pPr>
        <w:ind w:left="4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7ADA78">
      <w:start w:val="1"/>
      <w:numFmt w:val="bullet"/>
      <w:lvlText w:val="▪"/>
      <w:lvlJc w:val="left"/>
      <w:pPr>
        <w:ind w:left="5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C6C3C4">
      <w:start w:val="1"/>
      <w:numFmt w:val="bullet"/>
      <w:lvlText w:val="•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185DF6">
      <w:start w:val="1"/>
      <w:numFmt w:val="bullet"/>
      <w:lvlText w:val="o"/>
      <w:lvlJc w:val="left"/>
      <w:pPr>
        <w:ind w:left="6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943466">
      <w:start w:val="1"/>
      <w:numFmt w:val="bullet"/>
      <w:lvlText w:val="▪"/>
      <w:lvlJc w:val="left"/>
      <w:pPr>
        <w:ind w:left="7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76606B8"/>
    <w:multiLevelType w:val="hybridMultilevel"/>
    <w:tmpl w:val="CFF46CDE"/>
    <w:lvl w:ilvl="0" w:tplc="FB5EDF26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4612DA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E6D56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8DEF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0E568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B888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36EB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BE829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C759C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08277F"/>
    <w:multiLevelType w:val="hybridMultilevel"/>
    <w:tmpl w:val="E292B5F4"/>
    <w:lvl w:ilvl="0" w:tplc="EC04168A">
      <w:start w:val="1"/>
      <w:numFmt w:val="decimal"/>
      <w:lvlText w:val="%1"/>
      <w:lvlJc w:val="left"/>
      <w:pPr>
        <w:ind w:left="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661978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28E11E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9ECD9A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68D72A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BA7D32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0457CC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305FFA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96AEC8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71202BA"/>
    <w:multiLevelType w:val="hybridMultilevel"/>
    <w:tmpl w:val="9BB61F0E"/>
    <w:lvl w:ilvl="0" w:tplc="C5C0D0E4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30393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4E4BA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4439F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481EA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307F0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74C8A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0649F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629C1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160CDD"/>
    <w:multiLevelType w:val="hybridMultilevel"/>
    <w:tmpl w:val="725A81E0"/>
    <w:lvl w:ilvl="0" w:tplc="144031A6">
      <w:start w:val="1"/>
      <w:numFmt w:val="bullet"/>
      <w:lvlText w:val="•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0068F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6C8F9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48D37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6F13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CCED4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8CF76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4A56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AC3954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A10F48"/>
    <w:multiLevelType w:val="hybridMultilevel"/>
    <w:tmpl w:val="049C2BD8"/>
    <w:lvl w:ilvl="0" w:tplc="4BEAD6D0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744D5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4AAD9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0CE1B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86B58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16197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5E1B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2BD1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22757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E8"/>
    <w:rsid w:val="00245FE8"/>
    <w:rsid w:val="0035395C"/>
    <w:rsid w:val="00356FA8"/>
    <w:rsid w:val="0071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C0515"/>
  <w15:docId w15:val="{6ED936FE-2E87-4A15-8917-06A1502C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" w:line="250" w:lineRule="auto"/>
      <w:ind w:left="10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4743</Words>
  <Characters>28463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nowwożytna</vt:lpstr>
    </vt:vector>
  </TitlesOfParts>
  <Company/>
  <LinksUpToDate>false</LinksUpToDate>
  <CharactersWithSpaces>33140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nowwożytna</dc:title>
  <dc:subject/>
  <dc:creator>AM</dc:creator>
  <cp:keywords/>
  <cp:lastModifiedBy>Użytkownik systemu Windows</cp:lastModifiedBy>
  <cp:revision>7</cp:revision>
  <cp:lastPrinted>2022-12-09T10:14:00Z</cp:lastPrinted>
  <dcterms:created xsi:type="dcterms:W3CDTF">2022-12-08T12:50:00Z</dcterms:created>
  <dcterms:modified xsi:type="dcterms:W3CDTF">2024-08-12T10:19:00Z</dcterms:modified>
</cp:coreProperties>
</file>